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AE09" w14:textId="4184B07F" w:rsidR="00E85C51" w:rsidRDefault="00E85C51" w:rsidP="00856149">
      <w:pPr>
        <w:spacing w:line="276" w:lineRule="auto"/>
        <w:jc w:val="both"/>
        <w:rPr>
          <w:rFonts w:cs="Times New Roman"/>
        </w:rPr>
      </w:pPr>
      <w:r>
        <w:rPr>
          <w:rFonts w:cs="Times New Roman"/>
        </w:rPr>
        <w:t>Příloha číslo 2 – Informační dokument</w:t>
      </w:r>
    </w:p>
    <w:p w14:paraId="1A73D786" w14:textId="77777777" w:rsidR="00E85C51" w:rsidRDefault="00E85C51" w:rsidP="00856149">
      <w:pPr>
        <w:spacing w:line="276" w:lineRule="auto"/>
        <w:jc w:val="both"/>
        <w:rPr>
          <w:rFonts w:cs="Times New Roman"/>
        </w:rPr>
      </w:pPr>
    </w:p>
    <w:p w14:paraId="1AD12FB1" w14:textId="77777777" w:rsidR="00E85C51" w:rsidRPr="00E85C51" w:rsidRDefault="00E85C51" w:rsidP="00856149">
      <w:pPr>
        <w:spacing w:line="276" w:lineRule="auto"/>
        <w:jc w:val="both"/>
        <w:rPr>
          <w:rFonts w:cs="Times New Roman"/>
          <w:b/>
          <w:sz w:val="32"/>
        </w:rPr>
      </w:pPr>
      <w:r w:rsidRPr="00E85C51">
        <w:rPr>
          <w:rFonts w:cs="Times New Roman"/>
          <w:b/>
          <w:sz w:val="32"/>
        </w:rPr>
        <w:t>Raiffeisenbank a.s.</w:t>
      </w:r>
    </w:p>
    <w:p w14:paraId="0A50B64B" w14:textId="7CC48938" w:rsidR="00E85C51" w:rsidRDefault="00E85C51" w:rsidP="00856149">
      <w:pPr>
        <w:spacing w:line="276" w:lineRule="auto"/>
        <w:jc w:val="both"/>
        <w:rPr>
          <w:rFonts w:cs="Times New Roman"/>
        </w:rPr>
      </w:pPr>
      <w:r>
        <w:rPr>
          <w:rFonts w:cs="Times New Roman"/>
        </w:rPr>
        <w:t>__________________________________________________________________________________</w:t>
      </w:r>
    </w:p>
    <w:p w14:paraId="5DBF52B3" w14:textId="77777777" w:rsidR="00E85C51" w:rsidRDefault="00E85C51" w:rsidP="00856149">
      <w:pPr>
        <w:spacing w:line="276" w:lineRule="auto"/>
        <w:jc w:val="both"/>
        <w:rPr>
          <w:rFonts w:cs="Times New Roman"/>
        </w:rPr>
      </w:pPr>
    </w:p>
    <w:p w14:paraId="671FDA74" w14:textId="77777777" w:rsidR="00E85C51" w:rsidRDefault="00E85C51" w:rsidP="00856149">
      <w:pPr>
        <w:spacing w:line="276" w:lineRule="auto"/>
        <w:jc w:val="center"/>
        <w:rPr>
          <w:rFonts w:cs="Times New Roman"/>
        </w:rPr>
      </w:pPr>
    </w:p>
    <w:p w14:paraId="0F6542BD" w14:textId="6E0A22E3" w:rsidR="00E85C51" w:rsidRDefault="00E85C51" w:rsidP="00856149">
      <w:pPr>
        <w:spacing w:line="276" w:lineRule="auto"/>
        <w:jc w:val="center"/>
        <w:rPr>
          <w:rFonts w:cs="Times New Roman"/>
          <w:b/>
          <w:sz w:val="32"/>
        </w:rPr>
      </w:pPr>
      <w:r w:rsidRPr="00E85C51">
        <w:rPr>
          <w:rFonts w:cs="Times New Roman"/>
          <w:b/>
          <w:sz w:val="32"/>
        </w:rPr>
        <w:t>INFORMAČNÍ DOKUMENT</w:t>
      </w:r>
    </w:p>
    <w:p w14:paraId="15E95B60" w14:textId="77777777" w:rsidR="00E85C51" w:rsidRPr="00E85C51" w:rsidRDefault="00E85C51" w:rsidP="00856149">
      <w:pPr>
        <w:spacing w:line="276" w:lineRule="auto"/>
        <w:jc w:val="center"/>
        <w:rPr>
          <w:rFonts w:cs="Times New Roman"/>
          <w:b/>
          <w:sz w:val="32"/>
        </w:rPr>
      </w:pPr>
    </w:p>
    <w:p w14:paraId="2F577B3F" w14:textId="603584CC" w:rsidR="00E85C51" w:rsidRDefault="00E85C51" w:rsidP="00856149">
      <w:pPr>
        <w:spacing w:line="276" w:lineRule="auto"/>
        <w:jc w:val="center"/>
        <w:rPr>
          <w:rFonts w:cs="Times New Roman"/>
        </w:rPr>
      </w:pPr>
      <w:r>
        <w:rPr>
          <w:rFonts w:cs="Times New Roman"/>
        </w:rPr>
        <w:t>Informační dokument vypracovaný v souladu s burzovními pravidly trhu Free Market</w:t>
      </w:r>
    </w:p>
    <w:p w14:paraId="2F1C23B8" w14:textId="7D6569A1" w:rsidR="00E85C51" w:rsidRDefault="00E85C51" w:rsidP="00856149">
      <w:pPr>
        <w:spacing w:line="276" w:lineRule="auto"/>
        <w:jc w:val="center"/>
        <w:rPr>
          <w:rFonts w:cs="Times New Roman"/>
        </w:rPr>
      </w:pPr>
      <w:r>
        <w:rPr>
          <w:rFonts w:cs="Times New Roman"/>
        </w:rPr>
        <w:t>Tento dokument nepodléhá schválení Českou národní bankou ani Burzou cenných papírů Praha, a.s.</w:t>
      </w:r>
    </w:p>
    <w:p w14:paraId="29B322D1" w14:textId="77777777" w:rsidR="00E85C51" w:rsidRDefault="00E85C51" w:rsidP="00856149">
      <w:pPr>
        <w:spacing w:line="276" w:lineRule="auto"/>
        <w:jc w:val="both"/>
        <w:rPr>
          <w:rFonts w:cs="Times New Roman"/>
        </w:rPr>
      </w:pPr>
    </w:p>
    <w:p w14:paraId="64B65D9B" w14:textId="77777777" w:rsidR="00E85C51" w:rsidRDefault="00E85C51" w:rsidP="00856149">
      <w:pPr>
        <w:spacing w:line="276" w:lineRule="auto"/>
        <w:jc w:val="both"/>
        <w:rPr>
          <w:rFonts w:cs="Times New Roman"/>
        </w:rPr>
      </w:pPr>
    </w:p>
    <w:p w14:paraId="6D8A4F1E" w14:textId="77777777" w:rsidR="00E85C51" w:rsidRDefault="00E85C51" w:rsidP="00856149">
      <w:pPr>
        <w:spacing w:line="276" w:lineRule="auto"/>
        <w:jc w:val="both"/>
        <w:rPr>
          <w:rFonts w:cs="Times New Roman"/>
        </w:rPr>
      </w:pPr>
    </w:p>
    <w:p w14:paraId="369246BE" w14:textId="4331EE28" w:rsidR="00E85C51" w:rsidRDefault="00E85C51" w:rsidP="00856149">
      <w:pPr>
        <w:spacing w:line="276" w:lineRule="auto"/>
        <w:jc w:val="both"/>
        <w:rPr>
          <w:rFonts w:cs="Times New Roman"/>
        </w:rPr>
      </w:pPr>
      <w:r>
        <w:rPr>
          <w:rFonts w:cs="Times New Roman"/>
        </w:rPr>
        <w:t>Identifikace žádajícího člena burzy: Raiffeisenbank a.s.</w:t>
      </w:r>
    </w:p>
    <w:p w14:paraId="3DD9382A" w14:textId="172E20CE" w:rsidR="00E85C51" w:rsidRDefault="00E85C51" w:rsidP="00856149">
      <w:pPr>
        <w:spacing w:line="276" w:lineRule="auto"/>
        <w:jc w:val="both"/>
        <w:rPr>
          <w:rFonts w:cs="Times New Roman"/>
        </w:rPr>
      </w:pPr>
      <w:r>
        <w:rPr>
          <w:rFonts w:cs="Times New Roman"/>
        </w:rPr>
        <w:t>Datum vyhotovení:</w:t>
      </w:r>
      <w:r w:rsidR="00867E68">
        <w:rPr>
          <w:rFonts w:cs="Times New Roman"/>
        </w:rPr>
        <w:t xml:space="preserve"> </w:t>
      </w:r>
      <w:r w:rsidR="00AA77D8">
        <w:rPr>
          <w:rFonts w:cs="Times New Roman"/>
        </w:rPr>
        <w:t>31.8.2020</w:t>
      </w:r>
    </w:p>
    <w:p w14:paraId="57BA2754" w14:textId="77777777" w:rsidR="00E85C51" w:rsidRDefault="00E85C51" w:rsidP="00856149">
      <w:pPr>
        <w:spacing w:line="276" w:lineRule="auto"/>
        <w:jc w:val="both"/>
        <w:rPr>
          <w:rFonts w:cs="Times New Roman"/>
        </w:rPr>
      </w:pPr>
    </w:p>
    <w:p w14:paraId="23EBAF3A" w14:textId="77777777" w:rsidR="00E85C51" w:rsidRDefault="00E85C51" w:rsidP="00856149">
      <w:pPr>
        <w:spacing w:line="276" w:lineRule="auto"/>
        <w:jc w:val="both"/>
        <w:rPr>
          <w:rFonts w:cs="Times New Roman"/>
        </w:rPr>
      </w:pPr>
      <w:r>
        <w:rPr>
          <w:rFonts w:cs="Times New Roman"/>
        </w:rPr>
        <w:br w:type="page"/>
      </w:r>
    </w:p>
    <w:sdt>
      <w:sdtPr>
        <w:rPr>
          <w:rFonts w:ascii="Times New Roman" w:eastAsiaTheme="minorHAnsi" w:hAnsi="Times New Roman" w:cstheme="minorBidi"/>
          <w:color w:val="auto"/>
          <w:sz w:val="22"/>
          <w:szCs w:val="22"/>
          <w:lang w:val="cs-CZ"/>
        </w:rPr>
        <w:id w:val="-438070374"/>
        <w:docPartObj>
          <w:docPartGallery w:val="Table of Contents"/>
          <w:docPartUnique/>
        </w:docPartObj>
      </w:sdtPr>
      <w:sdtEndPr>
        <w:rPr>
          <w:b/>
          <w:bCs/>
          <w:noProof/>
        </w:rPr>
      </w:sdtEndPr>
      <w:sdtContent>
        <w:p w14:paraId="23ADFEE4" w14:textId="08F9CEBD" w:rsidR="00E85C51" w:rsidRDefault="00E85C51" w:rsidP="00856149">
          <w:pPr>
            <w:pStyle w:val="TOCHeading"/>
            <w:spacing w:line="276" w:lineRule="auto"/>
            <w:jc w:val="both"/>
            <w:rPr>
              <w:rFonts w:ascii="Times New Roman" w:hAnsi="Times New Roman" w:cs="Times New Roman"/>
              <w:b/>
              <w:color w:val="auto"/>
            </w:rPr>
          </w:pPr>
          <w:r w:rsidRPr="007D20FB">
            <w:rPr>
              <w:rFonts w:ascii="Times New Roman" w:hAnsi="Times New Roman" w:cs="Times New Roman"/>
              <w:b/>
              <w:color w:val="auto"/>
            </w:rPr>
            <w:t>Obsah</w:t>
          </w:r>
        </w:p>
        <w:p w14:paraId="727CEBF1" w14:textId="77777777" w:rsidR="007D20FB" w:rsidRPr="007D20FB" w:rsidRDefault="007D20FB" w:rsidP="007D20FB">
          <w:pPr>
            <w:rPr>
              <w:lang w:val="en-US"/>
            </w:rPr>
          </w:pPr>
        </w:p>
        <w:p w14:paraId="363AB0E6" w14:textId="5863E599" w:rsidR="00A82BBA" w:rsidRDefault="00E85C51">
          <w:pPr>
            <w:pStyle w:val="TOC1"/>
            <w:tabs>
              <w:tab w:val="left" w:pos="440"/>
              <w:tab w:val="right" w:leader="dot" w:pos="9062"/>
            </w:tabs>
            <w:rPr>
              <w:rFonts w:asciiTheme="minorHAnsi" w:eastAsiaTheme="minorEastAsia" w:hAnsiTheme="minorHAnsi"/>
              <w:noProof/>
              <w:lang w:eastAsia="cs-CZ"/>
            </w:rPr>
          </w:pPr>
          <w:r w:rsidRPr="00E85C51">
            <w:rPr>
              <w:rFonts w:cs="Times New Roman"/>
            </w:rPr>
            <w:fldChar w:fldCharType="begin"/>
          </w:r>
          <w:r w:rsidRPr="00E85C51">
            <w:rPr>
              <w:rFonts w:cs="Times New Roman"/>
            </w:rPr>
            <w:instrText xml:space="preserve"> TOC \o "1-3" \h \z \u </w:instrText>
          </w:r>
          <w:r w:rsidRPr="00E85C51">
            <w:rPr>
              <w:rFonts w:cs="Times New Roman"/>
            </w:rPr>
            <w:fldChar w:fldCharType="separate"/>
          </w:r>
          <w:hyperlink w:anchor="_Toc46755351" w:history="1">
            <w:r w:rsidR="00A82BBA" w:rsidRPr="00A5076D">
              <w:rPr>
                <w:rStyle w:val="Hyperlink"/>
                <w:rFonts w:eastAsia="Carlito" w:cs="Times New Roman"/>
                <w:bCs/>
                <w:noProof/>
                <w:spacing w:val="-1"/>
              </w:rPr>
              <w:t>1.</w:t>
            </w:r>
            <w:r w:rsidR="00A82BBA">
              <w:rPr>
                <w:rFonts w:asciiTheme="minorHAnsi" w:eastAsiaTheme="minorEastAsia" w:hAnsiTheme="minorHAnsi"/>
                <w:noProof/>
                <w:lang w:eastAsia="cs-CZ"/>
              </w:rPr>
              <w:tab/>
            </w:r>
            <w:r w:rsidR="00A82BBA" w:rsidRPr="00A5076D">
              <w:rPr>
                <w:rStyle w:val="Hyperlink"/>
                <w:rFonts w:cs="Times New Roman"/>
                <w:noProof/>
              </w:rPr>
              <w:t>Základní informace</w:t>
            </w:r>
            <w:r w:rsidR="00A82BBA">
              <w:rPr>
                <w:noProof/>
                <w:webHidden/>
              </w:rPr>
              <w:tab/>
            </w:r>
            <w:r w:rsidR="00A82BBA">
              <w:rPr>
                <w:noProof/>
                <w:webHidden/>
              </w:rPr>
              <w:fldChar w:fldCharType="begin"/>
            </w:r>
            <w:r w:rsidR="00A82BBA">
              <w:rPr>
                <w:noProof/>
                <w:webHidden/>
              </w:rPr>
              <w:instrText xml:space="preserve"> PAGEREF _Toc46755351 \h </w:instrText>
            </w:r>
            <w:r w:rsidR="00A82BBA">
              <w:rPr>
                <w:noProof/>
                <w:webHidden/>
              </w:rPr>
            </w:r>
            <w:r w:rsidR="00A82BBA">
              <w:rPr>
                <w:noProof/>
                <w:webHidden/>
              </w:rPr>
              <w:fldChar w:fldCharType="separate"/>
            </w:r>
            <w:r w:rsidR="00EB6B41">
              <w:rPr>
                <w:noProof/>
                <w:webHidden/>
              </w:rPr>
              <w:t>1</w:t>
            </w:r>
            <w:r w:rsidR="00A82BBA">
              <w:rPr>
                <w:noProof/>
                <w:webHidden/>
              </w:rPr>
              <w:fldChar w:fldCharType="end"/>
            </w:r>
          </w:hyperlink>
        </w:p>
        <w:p w14:paraId="04A13E7A" w14:textId="49230D86"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52" w:history="1">
            <w:r w:rsidR="00A82BBA" w:rsidRPr="00A5076D">
              <w:rPr>
                <w:rStyle w:val="Hyperlink"/>
                <w:rFonts w:ascii="Times New Roman Bold" w:eastAsia="Carlito" w:hAnsi="Times New Roman Bold" w:cs="Times New Roman"/>
                <w:bCs/>
                <w:noProof/>
                <w:spacing w:val="-13"/>
              </w:rPr>
              <w:t>1.1.</w:t>
            </w:r>
            <w:r w:rsidR="00A82BBA">
              <w:rPr>
                <w:rFonts w:asciiTheme="minorHAnsi" w:eastAsiaTheme="minorEastAsia" w:hAnsiTheme="minorHAnsi"/>
                <w:noProof/>
                <w:lang w:eastAsia="cs-CZ"/>
              </w:rPr>
              <w:tab/>
            </w:r>
            <w:r w:rsidR="00A82BBA" w:rsidRPr="00A5076D">
              <w:rPr>
                <w:rStyle w:val="Hyperlink"/>
                <w:rFonts w:cs="Times New Roman"/>
                <w:noProof/>
              </w:rPr>
              <w:t>Údaje o emitentovi</w:t>
            </w:r>
            <w:r w:rsidR="00A82BBA">
              <w:rPr>
                <w:noProof/>
                <w:webHidden/>
              </w:rPr>
              <w:tab/>
            </w:r>
            <w:r w:rsidR="00A82BBA">
              <w:rPr>
                <w:noProof/>
                <w:webHidden/>
              </w:rPr>
              <w:fldChar w:fldCharType="begin"/>
            </w:r>
            <w:r w:rsidR="00A82BBA">
              <w:rPr>
                <w:noProof/>
                <w:webHidden/>
              </w:rPr>
              <w:instrText xml:space="preserve"> PAGEREF _Toc46755352 \h </w:instrText>
            </w:r>
            <w:r w:rsidR="00A82BBA">
              <w:rPr>
                <w:noProof/>
                <w:webHidden/>
              </w:rPr>
            </w:r>
            <w:r w:rsidR="00A82BBA">
              <w:rPr>
                <w:noProof/>
                <w:webHidden/>
              </w:rPr>
              <w:fldChar w:fldCharType="separate"/>
            </w:r>
            <w:r w:rsidR="00EB6B41">
              <w:rPr>
                <w:noProof/>
                <w:webHidden/>
              </w:rPr>
              <w:t>1</w:t>
            </w:r>
            <w:r w:rsidR="00A82BBA">
              <w:rPr>
                <w:noProof/>
                <w:webHidden/>
              </w:rPr>
              <w:fldChar w:fldCharType="end"/>
            </w:r>
          </w:hyperlink>
        </w:p>
        <w:p w14:paraId="38E67668" w14:textId="5C9D078D"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53" w:history="1">
            <w:r w:rsidR="00A82BBA" w:rsidRPr="00A5076D">
              <w:rPr>
                <w:rStyle w:val="Hyperlink"/>
                <w:rFonts w:ascii="Times New Roman Bold" w:eastAsia="Carlito" w:hAnsi="Times New Roman Bold" w:cs="Times New Roman"/>
                <w:bCs/>
                <w:noProof/>
                <w:spacing w:val="-13"/>
              </w:rPr>
              <w:t>1.2.</w:t>
            </w:r>
            <w:r w:rsidR="00A82BBA">
              <w:rPr>
                <w:rFonts w:asciiTheme="minorHAnsi" w:eastAsiaTheme="minorEastAsia" w:hAnsiTheme="minorHAnsi"/>
                <w:noProof/>
                <w:lang w:eastAsia="cs-CZ"/>
              </w:rPr>
              <w:tab/>
            </w:r>
            <w:r w:rsidR="00A82BBA" w:rsidRPr="00A5076D">
              <w:rPr>
                <w:rStyle w:val="Hyperlink"/>
                <w:rFonts w:cs="Times New Roman"/>
                <w:noProof/>
              </w:rPr>
              <w:t>Údaje o žádajícím členovi burzy</w:t>
            </w:r>
            <w:r w:rsidR="00A82BBA">
              <w:rPr>
                <w:noProof/>
                <w:webHidden/>
              </w:rPr>
              <w:tab/>
            </w:r>
            <w:r w:rsidR="00A82BBA">
              <w:rPr>
                <w:noProof/>
                <w:webHidden/>
              </w:rPr>
              <w:fldChar w:fldCharType="begin"/>
            </w:r>
            <w:r w:rsidR="00A82BBA">
              <w:rPr>
                <w:noProof/>
                <w:webHidden/>
              </w:rPr>
              <w:instrText xml:space="preserve"> PAGEREF _Toc46755353 \h </w:instrText>
            </w:r>
            <w:r w:rsidR="00A82BBA">
              <w:rPr>
                <w:noProof/>
                <w:webHidden/>
              </w:rPr>
            </w:r>
            <w:r w:rsidR="00A82BBA">
              <w:rPr>
                <w:noProof/>
                <w:webHidden/>
              </w:rPr>
              <w:fldChar w:fldCharType="separate"/>
            </w:r>
            <w:r w:rsidR="00EB6B41">
              <w:rPr>
                <w:noProof/>
                <w:webHidden/>
              </w:rPr>
              <w:t>1</w:t>
            </w:r>
            <w:r w:rsidR="00A82BBA">
              <w:rPr>
                <w:noProof/>
                <w:webHidden/>
              </w:rPr>
              <w:fldChar w:fldCharType="end"/>
            </w:r>
          </w:hyperlink>
        </w:p>
        <w:p w14:paraId="7C59546F" w14:textId="634F40C1"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54" w:history="1">
            <w:r w:rsidR="00A82BBA" w:rsidRPr="00A5076D">
              <w:rPr>
                <w:rStyle w:val="Hyperlink"/>
                <w:rFonts w:ascii="Times New Roman Bold" w:eastAsia="Carlito" w:hAnsi="Times New Roman Bold" w:cs="Times New Roman"/>
                <w:bCs/>
                <w:noProof/>
                <w:spacing w:val="-13"/>
              </w:rPr>
              <w:t>1.3.</w:t>
            </w:r>
            <w:r w:rsidR="00A82BBA">
              <w:rPr>
                <w:rFonts w:asciiTheme="minorHAnsi" w:eastAsiaTheme="minorEastAsia" w:hAnsiTheme="minorHAnsi"/>
                <w:noProof/>
                <w:lang w:eastAsia="cs-CZ"/>
              </w:rPr>
              <w:tab/>
            </w:r>
            <w:r w:rsidR="00A82BBA" w:rsidRPr="00A5076D">
              <w:rPr>
                <w:rStyle w:val="Hyperlink"/>
                <w:rFonts w:cs="Times New Roman"/>
                <w:noProof/>
              </w:rPr>
              <w:t>Popis investičního nástroje přijímaného k obchodování</w:t>
            </w:r>
            <w:r w:rsidR="00A82BBA">
              <w:rPr>
                <w:noProof/>
                <w:webHidden/>
              </w:rPr>
              <w:tab/>
            </w:r>
            <w:r w:rsidR="00A82BBA">
              <w:rPr>
                <w:noProof/>
                <w:webHidden/>
              </w:rPr>
              <w:fldChar w:fldCharType="begin"/>
            </w:r>
            <w:r w:rsidR="00A82BBA">
              <w:rPr>
                <w:noProof/>
                <w:webHidden/>
              </w:rPr>
              <w:instrText xml:space="preserve"> PAGEREF _Toc46755354 \h </w:instrText>
            </w:r>
            <w:r w:rsidR="00A82BBA">
              <w:rPr>
                <w:noProof/>
                <w:webHidden/>
              </w:rPr>
            </w:r>
            <w:r w:rsidR="00A82BBA">
              <w:rPr>
                <w:noProof/>
                <w:webHidden/>
              </w:rPr>
              <w:fldChar w:fldCharType="separate"/>
            </w:r>
            <w:r w:rsidR="00EB6B41">
              <w:rPr>
                <w:noProof/>
                <w:webHidden/>
              </w:rPr>
              <w:t>1</w:t>
            </w:r>
            <w:r w:rsidR="00A82BBA">
              <w:rPr>
                <w:noProof/>
                <w:webHidden/>
              </w:rPr>
              <w:fldChar w:fldCharType="end"/>
            </w:r>
          </w:hyperlink>
        </w:p>
        <w:p w14:paraId="0A0932AB" w14:textId="6AD8537F"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55" w:history="1">
            <w:r w:rsidR="00A82BBA" w:rsidRPr="00A5076D">
              <w:rPr>
                <w:rStyle w:val="Hyperlink"/>
                <w:rFonts w:eastAsia="Carlito" w:cs="Times New Roman"/>
                <w:bCs/>
                <w:noProof/>
                <w:spacing w:val="-1"/>
              </w:rPr>
              <w:t>2.</w:t>
            </w:r>
            <w:r w:rsidR="00A82BBA">
              <w:rPr>
                <w:rFonts w:asciiTheme="minorHAnsi" w:eastAsiaTheme="minorEastAsia" w:hAnsiTheme="minorHAnsi"/>
                <w:noProof/>
                <w:lang w:eastAsia="cs-CZ"/>
              </w:rPr>
              <w:tab/>
            </w:r>
            <w:r w:rsidR="00A82BBA" w:rsidRPr="00A5076D">
              <w:rPr>
                <w:rStyle w:val="Hyperlink"/>
                <w:rFonts w:cs="Times New Roman"/>
                <w:noProof/>
              </w:rPr>
              <w:t>Úpis investičních nástrojů</w:t>
            </w:r>
            <w:r w:rsidR="00A82BBA">
              <w:rPr>
                <w:noProof/>
                <w:webHidden/>
              </w:rPr>
              <w:tab/>
            </w:r>
            <w:r w:rsidR="00A82BBA">
              <w:rPr>
                <w:noProof/>
                <w:webHidden/>
              </w:rPr>
              <w:fldChar w:fldCharType="begin"/>
            </w:r>
            <w:r w:rsidR="00A82BBA">
              <w:rPr>
                <w:noProof/>
                <w:webHidden/>
              </w:rPr>
              <w:instrText xml:space="preserve"> PAGEREF _Toc46755355 \h </w:instrText>
            </w:r>
            <w:r w:rsidR="00A82BBA">
              <w:rPr>
                <w:noProof/>
                <w:webHidden/>
              </w:rPr>
            </w:r>
            <w:r w:rsidR="00A82BBA">
              <w:rPr>
                <w:noProof/>
                <w:webHidden/>
              </w:rPr>
              <w:fldChar w:fldCharType="separate"/>
            </w:r>
            <w:r w:rsidR="00EB6B41">
              <w:rPr>
                <w:noProof/>
                <w:webHidden/>
              </w:rPr>
              <w:t>1</w:t>
            </w:r>
            <w:r w:rsidR="00A82BBA">
              <w:rPr>
                <w:noProof/>
                <w:webHidden/>
              </w:rPr>
              <w:fldChar w:fldCharType="end"/>
            </w:r>
          </w:hyperlink>
        </w:p>
        <w:p w14:paraId="1DE985D7" w14:textId="3A890B52"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56" w:history="1">
            <w:r w:rsidR="00A82BBA" w:rsidRPr="00A5076D">
              <w:rPr>
                <w:rStyle w:val="Hyperlink"/>
                <w:rFonts w:eastAsia="Carlito" w:cs="Times New Roman"/>
                <w:bCs/>
                <w:noProof/>
                <w:spacing w:val="-1"/>
              </w:rPr>
              <w:t>3.</w:t>
            </w:r>
            <w:r w:rsidR="00A82BBA">
              <w:rPr>
                <w:rFonts w:asciiTheme="minorHAnsi" w:eastAsiaTheme="minorEastAsia" w:hAnsiTheme="minorHAnsi"/>
                <w:noProof/>
                <w:lang w:eastAsia="cs-CZ"/>
              </w:rPr>
              <w:tab/>
            </w:r>
            <w:r w:rsidR="00A82BBA" w:rsidRPr="00A5076D">
              <w:rPr>
                <w:rStyle w:val="Hyperlink"/>
                <w:rFonts w:cs="Times New Roman"/>
                <w:noProof/>
              </w:rPr>
              <w:t>Osoby zodpovědné za přípravu informačního dokumentu</w:t>
            </w:r>
            <w:r w:rsidR="00A82BBA">
              <w:rPr>
                <w:noProof/>
                <w:webHidden/>
              </w:rPr>
              <w:tab/>
            </w:r>
            <w:r w:rsidR="00A82BBA">
              <w:rPr>
                <w:noProof/>
                <w:webHidden/>
              </w:rPr>
              <w:fldChar w:fldCharType="begin"/>
            </w:r>
            <w:r w:rsidR="00A82BBA">
              <w:rPr>
                <w:noProof/>
                <w:webHidden/>
              </w:rPr>
              <w:instrText xml:space="preserve"> PAGEREF _Toc46755356 \h </w:instrText>
            </w:r>
            <w:r w:rsidR="00A82BBA">
              <w:rPr>
                <w:noProof/>
                <w:webHidden/>
              </w:rPr>
            </w:r>
            <w:r w:rsidR="00A82BBA">
              <w:rPr>
                <w:noProof/>
                <w:webHidden/>
              </w:rPr>
              <w:fldChar w:fldCharType="separate"/>
            </w:r>
            <w:r w:rsidR="00EB6B41">
              <w:rPr>
                <w:noProof/>
                <w:webHidden/>
              </w:rPr>
              <w:t>2</w:t>
            </w:r>
            <w:r w:rsidR="00A82BBA">
              <w:rPr>
                <w:noProof/>
                <w:webHidden/>
              </w:rPr>
              <w:fldChar w:fldCharType="end"/>
            </w:r>
          </w:hyperlink>
        </w:p>
        <w:p w14:paraId="22C05A08" w14:textId="07875CC6"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57" w:history="1">
            <w:r w:rsidR="00A82BBA" w:rsidRPr="00A5076D">
              <w:rPr>
                <w:rStyle w:val="Hyperlink"/>
                <w:rFonts w:ascii="Times New Roman Bold" w:eastAsia="Carlito" w:hAnsi="Times New Roman Bold" w:cs="Times New Roman"/>
                <w:bCs/>
                <w:noProof/>
                <w:spacing w:val="-13"/>
              </w:rPr>
              <w:t>3.1.</w:t>
            </w:r>
            <w:r w:rsidR="00A82BBA">
              <w:rPr>
                <w:rFonts w:asciiTheme="minorHAnsi" w:eastAsiaTheme="minorEastAsia" w:hAnsiTheme="minorHAnsi"/>
                <w:noProof/>
                <w:lang w:eastAsia="cs-CZ"/>
              </w:rPr>
              <w:tab/>
            </w:r>
            <w:r w:rsidR="00A82BBA" w:rsidRPr="00A5076D">
              <w:rPr>
                <w:rStyle w:val="Hyperlink"/>
                <w:rFonts w:cs="Times New Roman"/>
                <w:noProof/>
              </w:rPr>
              <w:t>Prohlášení emitenta</w:t>
            </w:r>
            <w:r w:rsidR="00A82BBA">
              <w:rPr>
                <w:noProof/>
                <w:webHidden/>
              </w:rPr>
              <w:tab/>
            </w:r>
            <w:r w:rsidR="00A82BBA">
              <w:rPr>
                <w:noProof/>
                <w:webHidden/>
              </w:rPr>
              <w:fldChar w:fldCharType="begin"/>
            </w:r>
            <w:r w:rsidR="00A82BBA">
              <w:rPr>
                <w:noProof/>
                <w:webHidden/>
              </w:rPr>
              <w:instrText xml:space="preserve"> PAGEREF _Toc46755357 \h </w:instrText>
            </w:r>
            <w:r w:rsidR="00A82BBA">
              <w:rPr>
                <w:noProof/>
                <w:webHidden/>
              </w:rPr>
            </w:r>
            <w:r w:rsidR="00A82BBA">
              <w:rPr>
                <w:noProof/>
                <w:webHidden/>
              </w:rPr>
              <w:fldChar w:fldCharType="separate"/>
            </w:r>
            <w:r w:rsidR="00EB6B41">
              <w:rPr>
                <w:noProof/>
                <w:webHidden/>
              </w:rPr>
              <w:t>2</w:t>
            </w:r>
            <w:r w:rsidR="00A82BBA">
              <w:rPr>
                <w:noProof/>
                <w:webHidden/>
              </w:rPr>
              <w:fldChar w:fldCharType="end"/>
            </w:r>
          </w:hyperlink>
        </w:p>
        <w:p w14:paraId="484A9EFA" w14:textId="40FBF8E0"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58" w:history="1">
            <w:r w:rsidR="00A82BBA" w:rsidRPr="00A5076D">
              <w:rPr>
                <w:rStyle w:val="Hyperlink"/>
                <w:rFonts w:ascii="Times New Roman Bold" w:eastAsia="Carlito" w:hAnsi="Times New Roman Bold" w:cs="Times New Roman"/>
                <w:bCs/>
                <w:noProof/>
                <w:spacing w:val="-13"/>
              </w:rPr>
              <w:t>3.2.</w:t>
            </w:r>
            <w:r w:rsidR="00A82BBA">
              <w:rPr>
                <w:rFonts w:asciiTheme="minorHAnsi" w:eastAsiaTheme="minorEastAsia" w:hAnsiTheme="minorHAnsi"/>
                <w:noProof/>
                <w:lang w:eastAsia="cs-CZ"/>
              </w:rPr>
              <w:tab/>
            </w:r>
            <w:r w:rsidR="00A82BBA" w:rsidRPr="00A5076D">
              <w:rPr>
                <w:rStyle w:val="Hyperlink"/>
                <w:rFonts w:cs="Times New Roman"/>
                <w:noProof/>
              </w:rPr>
              <w:t>Prohlášení žádajícího člena burzy</w:t>
            </w:r>
            <w:r w:rsidR="00A82BBA">
              <w:rPr>
                <w:noProof/>
                <w:webHidden/>
              </w:rPr>
              <w:tab/>
            </w:r>
            <w:r w:rsidR="00A82BBA">
              <w:rPr>
                <w:noProof/>
                <w:webHidden/>
              </w:rPr>
              <w:fldChar w:fldCharType="begin"/>
            </w:r>
            <w:r w:rsidR="00A82BBA">
              <w:rPr>
                <w:noProof/>
                <w:webHidden/>
              </w:rPr>
              <w:instrText xml:space="preserve"> PAGEREF _Toc46755358 \h </w:instrText>
            </w:r>
            <w:r w:rsidR="00A82BBA">
              <w:rPr>
                <w:noProof/>
                <w:webHidden/>
              </w:rPr>
            </w:r>
            <w:r w:rsidR="00A82BBA">
              <w:rPr>
                <w:noProof/>
                <w:webHidden/>
              </w:rPr>
              <w:fldChar w:fldCharType="separate"/>
            </w:r>
            <w:r w:rsidR="00EB6B41">
              <w:rPr>
                <w:noProof/>
                <w:webHidden/>
              </w:rPr>
              <w:t>2</w:t>
            </w:r>
            <w:r w:rsidR="00A82BBA">
              <w:rPr>
                <w:noProof/>
                <w:webHidden/>
              </w:rPr>
              <w:fldChar w:fldCharType="end"/>
            </w:r>
          </w:hyperlink>
        </w:p>
        <w:p w14:paraId="71C1ADE4" w14:textId="711839CA"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59" w:history="1">
            <w:r w:rsidR="00A82BBA" w:rsidRPr="00A5076D">
              <w:rPr>
                <w:rStyle w:val="Hyperlink"/>
                <w:rFonts w:eastAsia="Carlito" w:cs="Times New Roman"/>
                <w:bCs/>
                <w:noProof/>
                <w:spacing w:val="-1"/>
              </w:rPr>
              <w:t>4.</w:t>
            </w:r>
            <w:r w:rsidR="00A82BBA">
              <w:rPr>
                <w:rFonts w:asciiTheme="minorHAnsi" w:eastAsiaTheme="minorEastAsia" w:hAnsiTheme="minorHAnsi"/>
                <w:noProof/>
                <w:lang w:eastAsia="cs-CZ"/>
              </w:rPr>
              <w:tab/>
            </w:r>
            <w:r w:rsidR="00A82BBA" w:rsidRPr="00A5076D">
              <w:rPr>
                <w:rStyle w:val="Hyperlink"/>
                <w:rFonts w:cs="Times New Roman"/>
                <w:noProof/>
              </w:rPr>
              <w:t>Rizikové faktory</w:t>
            </w:r>
            <w:r w:rsidR="00A82BBA">
              <w:rPr>
                <w:noProof/>
                <w:webHidden/>
              </w:rPr>
              <w:tab/>
            </w:r>
            <w:r w:rsidR="00A82BBA">
              <w:rPr>
                <w:noProof/>
                <w:webHidden/>
              </w:rPr>
              <w:fldChar w:fldCharType="begin"/>
            </w:r>
            <w:r w:rsidR="00A82BBA">
              <w:rPr>
                <w:noProof/>
                <w:webHidden/>
              </w:rPr>
              <w:instrText xml:space="preserve"> PAGEREF _Toc46755359 \h </w:instrText>
            </w:r>
            <w:r w:rsidR="00A82BBA">
              <w:rPr>
                <w:noProof/>
                <w:webHidden/>
              </w:rPr>
            </w:r>
            <w:r w:rsidR="00A82BBA">
              <w:rPr>
                <w:noProof/>
                <w:webHidden/>
              </w:rPr>
              <w:fldChar w:fldCharType="separate"/>
            </w:r>
            <w:r w:rsidR="00EB6B41">
              <w:rPr>
                <w:noProof/>
                <w:webHidden/>
              </w:rPr>
              <w:t>2</w:t>
            </w:r>
            <w:r w:rsidR="00A82BBA">
              <w:rPr>
                <w:noProof/>
                <w:webHidden/>
              </w:rPr>
              <w:fldChar w:fldCharType="end"/>
            </w:r>
          </w:hyperlink>
        </w:p>
        <w:p w14:paraId="2E38F233" w14:textId="1A8C65BE"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0" w:history="1">
            <w:r w:rsidR="00A82BBA" w:rsidRPr="00A5076D">
              <w:rPr>
                <w:rStyle w:val="Hyperlink"/>
                <w:rFonts w:ascii="Times New Roman Bold" w:eastAsia="Carlito" w:hAnsi="Times New Roman Bold" w:cs="Times New Roman"/>
                <w:bCs/>
                <w:noProof/>
                <w:spacing w:val="-13"/>
              </w:rPr>
              <w:t>4.1.</w:t>
            </w:r>
            <w:r w:rsidR="00A82BBA">
              <w:rPr>
                <w:rFonts w:asciiTheme="minorHAnsi" w:eastAsiaTheme="minorEastAsia" w:hAnsiTheme="minorHAnsi"/>
                <w:noProof/>
                <w:lang w:eastAsia="cs-CZ"/>
              </w:rPr>
              <w:tab/>
            </w:r>
            <w:r w:rsidR="00A82BBA" w:rsidRPr="00A5076D">
              <w:rPr>
                <w:rStyle w:val="Hyperlink"/>
                <w:rFonts w:cs="Times New Roman"/>
                <w:noProof/>
              </w:rPr>
              <w:t>Rizikové faktory spojené s předmětem podnikání Emitenta</w:t>
            </w:r>
            <w:r w:rsidR="00A82BBA">
              <w:rPr>
                <w:noProof/>
                <w:webHidden/>
              </w:rPr>
              <w:tab/>
            </w:r>
            <w:r w:rsidR="00A82BBA">
              <w:rPr>
                <w:noProof/>
                <w:webHidden/>
              </w:rPr>
              <w:fldChar w:fldCharType="begin"/>
            </w:r>
            <w:r w:rsidR="00A82BBA">
              <w:rPr>
                <w:noProof/>
                <w:webHidden/>
              </w:rPr>
              <w:instrText xml:space="preserve"> PAGEREF _Toc46755360 \h </w:instrText>
            </w:r>
            <w:r w:rsidR="00A82BBA">
              <w:rPr>
                <w:noProof/>
                <w:webHidden/>
              </w:rPr>
            </w:r>
            <w:r w:rsidR="00A82BBA">
              <w:rPr>
                <w:noProof/>
                <w:webHidden/>
              </w:rPr>
              <w:fldChar w:fldCharType="separate"/>
            </w:r>
            <w:r w:rsidR="00EB6B41">
              <w:rPr>
                <w:noProof/>
                <w:webHidden/>
              </w:rPr>
              <w:t>2</w:t>
            </w:r>
            <w:r w:rsidR="00A82BBA">
              <w:rPr>
                <w:noProof/>
                <w:webHidden/>
              </w:rPr>
              <w:fldChar w:fldCharType="end"/>
            </w:r>
          </w:hyperlink>
        </w:p>
        <w:p w14:paraId="59B0576E" w14:textId="71B68EA8"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1" w:history="1">
            <w:r w:rsidR="00A82BBA" w:rsidRPr="00A5076D">
              <w:rPr>
                <w:rStyle w:val="Hyperlink"/>
                <w:rFonts w:ascii="Times New Roman Bold" w:eastAsia="Carlito" w:hAnsi="Times New Roman Bold" w:cs="Times New Roman"/>
                <w:bCs/>
                <w:noProof/>
                <w:spacing w:val="-13"/>
              </w:rPr>
              <w:t>4.2.</w:t>
            </w:r>
            <w:r w:rsidR="00A82BBA">
              <w:rPr>
                <w:rFonts w:asciiTheme="minorHAnsi" w:eastAsiaTheme="minorEastAsia" w:hAnsiTheme="minorHAnsi"/>
                <w:noProof/>
                <w:lang w:eastAsia="cs-CZ"/>
              </w:rPr>
              <w:tab/>
            </w:r>
            <w:r w:rsidR="00A82BBA" w:rsidRPr="00A5076D">
              <w:rPr>
                <w:rStyle w:val="Hyperlink"/>
                <w:rFonts w:cs="Times New Roman"/>
                <w:noProof/>
              </w:rPr>
              <w:t>Rizikové faktory spojené s tržním prostředím, ve kterém Emitent podniká</w:t>
            </w:r>
            <w:r w:rsidR="00A82BBA">
              <w:rPr>
                <w:noProof/>
                <w:webHidden/>
              </w:rPr>
              <w:tab/>
            </w:r>
            <w:r w:rsidR="00A82BBA">
              <w:rPr>
                <w:noProof/>
                <w:webHidden/>
              </w:rPr>
              <w:fldChar w:fldCharType="begin"/>
            </w:r>
            <w:r w:rsidR="00A82BBA">
              <w:rPr>
                <w:noProof/>
                <w:webHidden/>
              </w:rPr>
              <w:instrText xml:space="preserve"> PAGEREF _Toc46755361 \h </w:instrText>
            </w:r>
            <w:r w:rsidR="00A82BBA">
              <w:rPr>
                <w:noProof/>
                <w:webHidden/>
              </w:rPr>
            </w:r>
            <w:r w:rsidR="00A82BBA">
              <w:rPr>
                <w:noProof/>
                <w:webHidden/>
              </w:rPr>
              <w:fldChar w:fldCharType="separate"/>
            </w:r>
            <w:r w:rsidR="00EB6B41">
              <w:rPr>
                <w:noProof/>
                <w:webHidden/>
              </w:rPr>
              <w:t>5</w:t>
            </w:r>
            <w:r w:rsidR="00A82BBA">
              <w:rPr>
                <w:noProof/>
                <w:webHidden/>
              </w:rPr>
              <w:fldChar w:fldCharType="end"/>
            </w:r>
          </w:hyperlink>
        </w:p>
        <w:p w14:paraId="5D170D0C" w14:textId="239CC8D2"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2" w:history="1">
            <w:r w:rsidR="00A82BBA" w:rsidRPr="00A5076D">
              <w:rPr>
                <w:rStyle w:val="Hyperlink"/>
                <w:rFonts w:ascii="Times New Roman Bold" w:eastAsia="Carlito" w:hAnsi="Times New Roman Bold" w:cs="Times New Roman"/>
                <w:bCs/>
                <w:noProof/>
                <w:spacing w:val="-13"/>
              </w:rPr>
              <w:t>4.3.</w:t>
            </w:r>
            <w:r w:rsidR="00A82BBA">
              <w:rPr>
                <w:rFonts w:asciiTheme="minorHAnsi" w:eastAsiaTheme="minorEastAsia" w:hAnsiTheme="minorHAnsi"/>
                <w:noProof/>
                <w:lang w:eastAsia="cs-CZ"/>
              </w:rPr>
              <w:tab/>
            </w:r>
            <w:r w:rsidR="00A82BBA" w:rsidRPr="00A5076D">
              <w:rPr>
                <w:rStyle w:val="Hyperlink"/>
                <w:rFonts w:cs="Times New Roman"/>
                <w:noProof/>
              </w:rPr>
              <w:t>Rizikové faktory spojené s kapitálovým trhem, na kterém mají být obchodovány finanční instrumenty Emitenta</w:t>
            </w:r>
            <w:r w:rsidR="00A82BBA">
              <w:rPr>
                <w:noProof/>
                <w:webHidden/>
              </w:rPr>
              <w:tab/>
            </w:r>
            <w:r w:rsidR="00A82BBA">
              <w:rPr>
                <w:noProof/>
                <w:webHidden/>
              </w:rPr>
              <w:fldChar w:fldCharType="begin"/>
            </w:r>
            <w:r w:rsidR="00A82BBA">
              <w:rPr>
                <w:noProof/>
                <w:webHidden/>
              </w:rPr>
              <w:instrText xml:space="preserve"> PAGEREF _Toc46755362 \h </w:instrText>
            </w:r>
            <w:r w:rsidR="00A82BBA">
              <w:rPr>
                <w:noProof/>
                <w:webHidden/>
              </w:rPr>
            </w:r>
            <w:r w:rsidR="00A82BBA">
              <w:rPr>
                <w:noProof/>
                <w:webHidden/>
              </w:rPr>
              <w:fldChar w:fldCharType="separate"/>
            </w:r>
            <w:r w:rsidR="00EB6B41">
              <w:rPr>
                <w:noProof/>
                <w:webHidden/>
              </w:rPr>
              <w:t>5</w:t>
            </w:r>
            <w:r w:rsidR="00A82BBA">
              <w:rPr>
                <w:noProof/>
                <w:webHidden/>
              </w:rPr>
              <w:fldChar w:fldCharType="end"/>
            </w:r>
          </w:hyperlink>
        </w:p>
        <w:p w14:paraId="585C6963" w14:textId="775E6C1A"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63" w:history="1">
            <w:r w:rsidR="00A82BBA" w:rsidRPr="00A5076D">
              <w:rPr>
                <w:rStyle w:val="Hyperlink"/>
                <w:rFonts w:eastAsia="Carlito" w:cs="Times New Roman"/>
                <w:bCs/>
                <w:noProof/>
                <w:spacing w:val="-1"/>
              </w:rPr>
              <w:t>5.</w:t>
            </w:r>
            <w:r w:rsidR="00A82BBA">
              <w:rPr>
                <w:rFonts w:asciiTheme="minorHAnsi" w:eastAsiaTheme="minorEastAsia" w:hAnsiTheme="minorHAnsi"/>
                <w:noProof/>
                <w:lang w:eastAsia="cs-CZ"/>
              </w:rPr>
              <w:tab/>
            </w:r>
            <w:r w:rsidR="00A82BBA" w:rsidRPr="00A5076D">
              <w:rPr>
                <w:rStyle w:val="Hyperlink"/>
                <w:rFonts w:cs="Times New Roman"/>
                <w:noProof/>
              </w:rPr>
              <w:t>Podrobné informace o investičním nástroji</w:t>
            </w:r>
            <w:r w:rsidR="00A82BBA">
              <w:rPr>
                <w:noProof/>
                <w:webHidden/>
              </w:rPr>
              <w:tab/>
            </w:r>
            <w:r w:rsidR="00A82BBA">
              <w:rPr>
                <w:noProof/>
                <w:webHidden/>
              </w:rPr>
              <w:fldChar w:fldCharType="begin"/>
            </w:r>
            <w:r w:rsidR="00A82BBA">
              <w:rPr>
                <w:noProof/>
                <w:webHidden/>
              </w:rPr>
              <w:instrText xml:space="preserve"> PAGEREF _Toc46755363 \h </w:instrText>
            </w:r>
            <w:r w:rsidR="00A82BBA">
              <w:rPr>
                <w:noProof/>
                <w:webHidden/>
              </w:rPr>
            </w:r>
            <w:r w:rsidR="00A82BBA">
              <w:rPr>
                <w:noProof/>
                <w:webHidden/>
              </w:rPr>
              <w:fldChar w:fldCharType="separate"/>
            </w:r>
            <w:r w:rsidR="00EB6B41">
              <w:rPr>
                <w:noProof/>
                <w:webHidden/>
              </w:rPr>
              <w:t>6</w:t>
            </w:r>
            <w:r w:rsidR="00A82BBA">
              <w:rPr>
                <w:noProof/>
                <w:webHidden/>
              </w:rPr>
              <w:fldChar w:fldCharType="end"/>
            </w:r>
          </w:hyperlink>
        </w:p>
        <w:p w14:paraId="6C43E79C" w14:textId="765F00E1"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4" w:history="1">
            <w:r w:rsidR="00A82BBA" w:rsidRPr="00A5076D">
              <w:rPr>
                <w:rStyle w:val="Hyperlink"/>
                <w:rFonts w:ascii="Times New Roman Bold" w:eastAsia="Carlito" w:hAnsi="Times New Roman Bold" w:cs="Times New Roman"/>
                <w:bCs/>
                <w:noProof/>
                <w:spacing w:val="-13"/>
              </w:rPr>
              <w:t>5.1.</w:t>
            </w:r>
            <w:r w:rsidR="00A82BBA">
              <w:rPr>
                <w:rFonts w:asciiTheme="minorHAnsi" w:eastAsiaTheme="minorEastAsia" w:hAnsiTheme="minorHAnsi"/>
                <w:noProof/>
                <w:lang w:eastAsia="cs-CZ"/>
              </w:rPr>
              <w:tab/>
            </w:r>
            <w:r w:rsidR="00A82BBA" w:rsidRPr="00A5076D">
              <w:rPr>
                <w:rStyle w:val="Hyperlink"/>
                <w:noProof/>
              </w:rPr>
              <w:t>Informace o krytých dluhopisech</w:t>
            </w:r>
            <w:r w:rsidR="00A82BBA">
              <w:rPr>
                <w:noProof/>
                <w:webHidden/>
              </w:rPr>
              <w:tab/>
            </w:r>
            <w:r w:rsidR="00A82BBA">
              <w:rPr>
                <w:noProof/>
                <w:webHidden/>
              </w:rPr>
              <w:fldChar w:fldCharType="begin"/>
            </w:r>
            <w:r w:rsidR="00A82BBA">
              <w:rPr>
                <w:noProof/>
                <w:webHidden/>
              </w:rPr>
              <w:instrText xml:space="preserve"> PAGEREF _Toc46755364 \h </w:instrText>
            </w:r>
            <w:r w:rsidR="00A82BBA">
              <w:rPr>
                <w:noProof/>
                <w:webHidden/>
              </w:rPr>
            </w:r>
            <w:r w:rsidR="00A82BBA">
              <w:rPr>
                <w:noProof/>
                <w:webHidden/>
              </w:rPr>
              <w:fldChar w:fldCharType="separate"/>
            </w:r>
            <w:r w:rsidR="00EB6B41">
              <w:rPr>
                <w:noProof/>
                <w:webHidden/>
              </w:rPr>
              <w:t>6</w:t>
            </w:r>
            <w:r w:rsidR="00A82BBA">
              <w:rPr>
                <w:noProof/>
                <w:webHidden/>
              </w:rPr>
              <w:fldChar w:fldCharType="end"/>
            </w:r>
          </w:hyperlink>
        </w:p>
        <w:p w14:paraId="0419340D" w14:textId="79C899E3"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5" w:history="1">
            <w:r w:rsidR="00A82BBA" w:rsidRPr="00A5076D">
              <w:rPr>
                <w:rStyle w:val="Hyperlink"/>
                <w:rFonts w:ascii="Times New Roman Bold" w:eastAsia="Carlito" w:hAnsi="Times New Roman Bold" w:cs="Times New Roman"/>
                <w:bCs/>
                <w:noProof/>
                <w:spacing w:val="-13"/>
              </w:rPr>
              <w:t>5.2.</w:t>
            </w:r>
            <w:r w:rsidR="00A82BBA">
              <w:rPr>
                <w:rFonts w:asciiTheme="minorHAnsi" w:eastAsiaTheme="minorEastAsia" w:hAnsiTheme="minorHAnsi"/>
                <w:noProof/>
                <w:lang w:eastAsia="cs-CZ"/>
              </w:rPr>
              <w:tab/>
            </w:r>
            <w:r w:rsidR="00A82BBA" w:rsidRPr="00A5076D">
              <w:rPr>
                <w:rStyle w:val="Hyperlink"/>
                <w:noProof/>
              </w:rPr>
              <w:t>Informace o nabídce krytých dluhopisů</w:t>
            </w:r>
            <w:r w:rsidR="00A82BBA">
              <w:rPr>
                <w:noProof/>
                <w:webHidden/>
              </w:rPr>
              <w:tab/>
            </w:r>
            <w:r w:rsidR="00A82BBA">
              <w:rPr>
                <w:noProof/>
                <w:webHidden/>
              </w:rPr>
              <w:fldChar w:fldCharType="begin"/>
            </w:r>
            <w:r w:rsidR="00A82BBA">
              <w:rPr>
                <w:noProof/>
                <w:webHidden/>
              </w:rPr>
              <w:instrText xml:space="preserve"> PAGEREF _Toc46755365 \h </w:instrText>
            </w:r>
            <w:r w:rsidR="00A82BBA">
              <w:rPr>
                <w:noProof/>
                <w:webHidden/>
              </w:rPr>
            </w:r>
            <w:r w:rsidR="00A82BBA">
              <w:rPr>
                <w:noProof/>
                <w:webHidden/>
              </w:rPr>
              <w:fldChar w:fldCharType="separate"/>
            </w:r>
            <w:r w:rsidR="00EB6B41">
              <w:rPr>
                <w:noProof/>
                <w:webHidden/>
              </w:rPr>
              <w:t>7</w:t>
            </w:r>
            <w:r w:rsidR="00A82BBA">
              <w:rPr>
                <w:noProof/>
                <w:webHidden/>
              </w:rPr>
              <w:fldChar w:fldCharType="end"/>
            </w:r>
          </w:hyperlink>
        </w:p>
        <w:p w14:paraId="55EE8B3F" w14:textId="52903ABB"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6" w:history="1">
            <w:r w:rsidR="00A82BBA" w:rsidRPr="00A5076D">
              <w:rPr>
                <w:rStyle w:val="Hyperlink"/>
                <w:rFonts w:ascii="Times New Roman Bold" w:eastAsia="Carlito" w:hAnsi="Times New Roman Bold" w:cs="Times New Roman"/>
                <w:bCs/>
                <w:noProof/>
                <w:spacing w:val="-13"/>
              </w:rPr>
              <w:t>5.3.</w:t>
            </w:r>
            <w:r w:rsidR="00A82BBA">
              <w:rPr>
                <w:rFonts w:asciiTheme="minorHAnsi" w:eastAsiaTheme="minorEastAsia" w:hAnsiTheme="minorHAnsi"/>
                <w:noProof/>
                <w:lang w:eastAsia="cs-CZ"/>
              </w:rPr>
              <w:tab/>
            </w:r>
            <w:r w:rsidR="00A82BBA" w:rsidRPr="00A5076D">
              <w:rPr>
                <w:rStyle w:val="Hyperlink"/>
                <w:noProof/>
              </w:rPr>
              <w:t>Informace o převoditelnosti krytých dluhopisů</w:t>
            </w:r>
            <w:r w:rsidR="00A82BBA">
              <w:rPr>
                <w:noProof/>
                <w:webHidden/>
              </w:rPr>
              <w:tab/>
            </w:r>
            <w:r w:rsidR="00A82BBA">
              <w:rPr>
                <w:noProof/>
                <w:webHidden/>
              </w:rPr>
              <w:fldChar w:fldCharType="begin"/>
            </w:r>
            <w:r w:rsidR="00A82BBA">
              <w:rPr>
                <w:noProof/>
                <w:webHidden/>
              </w:rPr>
              <w:instrText xml:space="preserve"> PAGEREF _Toc46755366 \h </w:instrText>
            </w:r>
            <w:r w:rsidR="00A82BBA">
              <w:rPr>
                <w:noProof/>
                <w:webHidden/>
              </w:rPr>
            </w:r>
            <w:r w:rsidR="00A82BBA">
              <w:rPr>
                <w:noProof/>
                <w:webHidden/>
              </w:rPr>
              <w:fldChar w:fldCharType="separate"/>
            </w:r>
            <w:r w:rsidR="00EB6B41">
              <w:rPr>
                <w:noProof/>
                <w:webHidden/>
              </w:rPr>
              <w:t>7</w:t>
            </w:r>
            <w:r w:rsidR="00A82BBA">
              <w:rPr>
                <w:noProof/>
                <w:webHidden/>
              </w:rPr>
              <w:fldChar w:fldCharType="end"/>
            </w:r>
          </w:hyperlink>
        </w:p>
        <w:p w14:paraId="3B60D664" w14:textId="1CF3B8B3"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7" w:history="1">
            <w:r w:rsidR="00A82BBA" w:rsidRPr="00A5076D">
              <w:rPr>
                <w:rStyle w:val="Hyperlink"/>
                <w:rFonts w:ascii="Times New Roman Bold" w:eastAsia="Carlito" w:hAnsi="Times New Roman Bold" w:cs="Times New Roman"/>
                <w:bCs/>
                <w:noProof/>
                <w:spacing w:val="-13"/>
              </w:rPr>
              <w:t>5.4.</w:t>
            </w:r>
            <w:r w:rsidR="00A82BBA">
              <w:rPr>
                <w:rFonts w:asciiTheme="minorHAnsi" w:eastAsiaTheme="minorEastAsia" w:hAnsiTheme="minorHAnsi"/>
                <w:noProof/>
                <w:lang w:eastAsia="cs-CZ"/>
              </w:rPr>
              <w:tab/>
            </w:r>
            <w:r w:rsidR="00A82BBA" w:rsidRPr="00A5076D">
              <w:rPr>
                <w:rStyle w:val="Hyperlink"/>
                <w:noProof/>
              </w:rPr>
              <w:t>Informace o výnosu krytých dluhopisů a jejich splatnosti</w:t>
            </w:r>
            <w:r w:rsidR="00A82BBA">
              <w:rPr>
                <w:noProof/>
                <w:webHidden/>
              </w:rPr>
              <w:tab/>
            </w:r>
            <w:r w:rsidR="00A82BBA">
              <w:rPr>
                <w:noProof/>
                <w:webHidden/>
              </w:rPr>
              <w:fldChar w:fldCharType="begin"/>
            </w:r>
            <w:r w:rsidR="00A82BBA">
              <w:rPr>
                <w:noProof/>
                <w:webHidden/>
              </w:rPr>
              <w:instrText xml:space="preserve"> PAGEREF _Toc46755367 \h </w:instrText>
            </w:r>
            <w:r w:rsidR="00A82BBA">
              <w:rPr>
                <w:noProof/>
                <w:webHidden/>
              </w:rPr>
            </w:r>
            <w:r w:rsidR="00A82BBA">
              <w:rPr>
                <w:noProof/>
                <w:webHidden/>
              </w:rPr>
              <w:fldChar w:fldCharType="separate"/>
            </w:r>
            <w:r w:rsidR="00EB6B41">
              <w:rPr>
                <w:noProof/>
                <w:webHidden/>
              </w:rPr>
              <w:t>7</w:t>
            </w:r>
            <w:r w:rsidR="00A82BBA">
              <w:rPr>
                <w:noProof/>
                <w:webHidden/>
              </w:rPr>
              <w:fldChar w:fldCharType="end"/>
            </w:r>
          </w:hyperlink>
        </w:p>
        <w:p w14:paraId="0D0D8064" w14:textId="4C95955E"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8" w:history="1">
            <w:r w:rsidR="00A82BBA" w:rsidRPr="00A5076D">
              <w:rPr>
                <w:rStyle w:val="Hyperlink"/>
                <w:rFonts w:ascii="Times New Roman Bold" w:eastAsia="Carlito" w:hAnsi="Times New Roman Bold" w:cs="Times New Roman"/>
                <w:bCs/>
                <w:noProof/>
                <w:spacing w:val="-13"/>
                <w:lang w:val="en-GB"/>
              </w:rPr>
              <w:t>5.5.</w:t>
            </w:r>
            <w:r w:rsidR="00A82BBA">
              <w:rPr>
                <w:rFonts w:asciiTheme="minorHAnsi" w:eastAsiaTheme="minorEastAsia" w:hAnsiTheme="minorHAnsi"/>
                <w:noProof/>
                <w:lang w:eastAsia="cs-CZ"/>
              </w:rPr>
              <w:tab/>
            </w:r>
            <w:r w:rsidR="00A82BBA" w:rsidRPr="00A5076D">
              <w:rPr>
                <w:rStyle w:val="Hyperlink"/>
                <w:noProof/>
                <w:lang w:val="en-GB"/>
              </w:rPr>
              <w:t>Informace o zdanění krytých dluhopisů</w:t>
            </w:r>
            <w:r w:rsidR="00A82BBA">
              <w:rPr>
                <w:noProof/>
                <w:webHidden/>
              </w:rPr>
              <w:tab/>
            </w:r>
            <w:r w:rsidR="00A82BBA">
              <w:rPr>
                <w:noProof/>
                <w:webHidden/>
              </w:rPr>
              <w:fldChar w:fldCharType="begin"/>
            </w:r>
            <w:r w:rsidR="00A82BBA">
              <w:rPr>
                <w:noProof/>
                <w:webHidden/>
              </w:rPr>
              <w:instrText xml:space="preserve"> PAGEREF _Toc46755368 \h </w:instrText>
            </w:r>
            <w:r w:rsidR="00A82BBA">
              <w:rPr>
                <w:noProof/>
                <w:webHidden/>
              </w:rPr>
            </w:r>
            <w:r w:rsidR="00A82BBA">
              <w:rPr>
                <w:noProof/>
                <w:webHidden/>
              </w:rPr>
              <w:fldChar w:fldCharType="separate"/>
            </w:r>
            <w:r w:rsidR="00EB6B41">
              <w:rPr>
                <w:noProof/>
                <w:webHidden/>
              </w:rPr>
              <w:t>7</w:t>
            </w:r>
            <w:r w:rsidR="00A82BBA">
              <w:rPr>
                <w:noProof/>
                <w:webHidden/>
              </w:rPr>
              <w:fldChar w:fldCharType="end"/>
            </w:r>
          </w:hyperlink>
        </w:p>
        <w:p w14:paraId="5A03296F" w14:textId="3138B0F1"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69" w:history="1">
            <w:r w:rsidR="00A82BBA" w:rsidRPr="00A5076D">
              <w:rPr>
                <w:rStyle w:val="Hyperlink"/>
                <w:rFonts w:ascii="Times New Roman Bold" w:eastAsia="Carlito" w:hAnsi="Times New Roman Bold" w:cs="Times New Roman"/>
                <w:bCs/>
                <w:noProof/>
                <w:spacing w:val="-13"/>
              </w:rPr>
              <w:t>5.6.</w:t>
            </w:r>
            <w:r w:rsidR="00A82BBA">
              <w:rPr>
                <w:rFonts w:asciiTheme="minorHAnsi" w:eastAsiaTheme="minorEastAsia" w:hAnsiTheme="minorHAnsi"/>
                <w:noProof/>
                <w:lang w:eastAsia="cs-CZ"/>
              </w:rPr>
              <w:tab/>
            </w:r>
            <w:r w:rsidR="00A82BBA" w:rsidRPr="00A5076D">
              <w:rPr>
                <w:rStyle w:val="Hyperlink"/>
                <w:noProof/>
              </w:rPr>
              <w:t>Náklady na registraci</w:t>
            </w:r>
            <w:r w:rsidR="00A82BBA">
              <w:rPr>
                <w:noProof/>
                <w:webHidden/>
              </w:rPr>
              <w:tab/>
            </w:r>
            <w:r w:rsidR="00A82BBA">
              <w:rPr>
                <w:noProof/>
                <w:webHidden/>
              </w:rPr>
              <w:fldChar w:fldCharType="begin"/>
            </w:r>
            <w:r w:rsidR="00A82BBA">
              <w:rPr>
                <w:noProof/>
                <w:webHidden/>
              </w:rPr>
              <w:instrText xml:space="preserve"> PAGEREF _Toc46755369 \h </w:instrText>
            </w:r>
            <w:r w:rsidR="00A82BBA">
              <w:rPr>
                <w:noProof/>
                <w:webHidden/>
              </w:rPr>
            </w:r>
            <w:r w:rsidR="00A82BBA">
              <w:rPr>
                <w:noProof/>
                <w:webHidden/>
              </w:rPr>
              <w:fldChar w:fldCharType="separate"/>
            </w:r>
            <w:r w:rsidR="00EB6B41">
              <w:rPr>
                <w:noProof/>
                <w:webHidden/>
              </w:rPr>
              <w:t>7</w:t>
            </w:r>
            <w:r w:rsidR="00A82BBA">
              <w:rPr>
                <w:noProof/>
                <w:webHidden/>
              </w:rPr>
              <w:fldChar w:fldCharType="end"/>
            </w:r>
          </w:hyperlink>
        </w:p>
        <w:p w14:paraId="46596E80" w14:textId="0F32C251"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70" w:history="1">
            <w:r w:rsidR="00A82BBA" w:rsidRPr="00A5076D">
              <w:rPr>
                <w:rStyle w:val="Hyperlink"/>
                <w:rFonts w:eastAsia="Carlito" w:cs="Times New Roman"/>
                <w:bCs/>
                <w:noProof/>
                <w:spacing w:val="-1"/>
              </w:rPr>
              <w:t>6.</w:t>
            </w:r>
            <w:r w:rsidR="00A82BBA">
              <w:rPr>
                <w:rFonts w:asciiTheme="minorHAnsi" w:eastAsiaTheme="minorEastAsia" w:hAnsiTheme="minorHAnsi"/>
                <w:noProof/>
                <w:lang w:eastAsia="cs-CZ"/>
              </w:rPr>
              <w:tab/>
            </w:r>
            <w:r w:rsidR="00A82BBA" w:rsidRPr="00A5076D">
              <w:rPr>
                <w:rStyle w:val="Hyperlink"/>
                <w:rFonts w:cs="Times New Roman"/>
                <w:noProof/>
              </w:rPr>
              <w:t>Informace o Emitentovi</w:t>
            </w:r>
            <w:r w:rsidR="00A82BBA">
              <w:rPr>
                <w:noProof/>
                <w:webHidden/>
              </w:rPr>
              <w:tab/>
            </w:r>
            <w:r w:rsidR="00A82BBA">
              <w:rPr>
                <w:noProof/>
                <w:webHidden/>
              </w:rPr>
              <w:fldChar w:fldCharType="begin"/>
            </w:r>
            <w:r w:rsidR="00A82BBA">
              <w:rPr>
                <w:noProof/>
                <w:webHidden/>
              </w:rPr>
              <w:instrText xml:space="preserve"> PAGEREF _Toc46755370 \h </w:instrText>
            </w:r>
            <w:r w:rsidR="00A82BBA">
              <w:rPr>
                <w:noProof/>
                <w:webHidden/>
              </w:rPr>
            </w:r>
            <w:r w:rsidR="00A82BBA">
              <w:rPr>
                <w:noProof/>
                <w:webHidden/>
              </w:rPr>
              <w:fldChar w:fldCharType="separate"/>
            </w:r>
            <w:r w:rsidR="00EB6B41">
              <w:rPr>
                <w:noProof/>
                <w:webHidden/>
              </w:rPr>
              <w:t>8</w:t>
            </w:r>
            <w:r w:rsidR="00A82BBA">
              <w:rPr>
                <w:noProof/>
                <w:webHidden/>
              </w:rPr>
              <w:fldChar w:fldCharType="end"/>
            </w:r>
          </w:hyperlink>
        </w:p>
        <w:p w14:paraId="6FF102E8" w14:textId="477551F4"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1" w:history="1">
            <w:r w:rsidR="00A82BBA" w:rsidRPr="00A5076D">
              <w:rPr>
                <w:rStyle w:val="Hyperlink"/>
                <w:rFonts w:ascii="Times New Roman Bold" w:eastAsia="Carlito" w:hAnsi="Times New Roman Bold" w:cs="Times New Roman"/>
                <w:bCs/>
                <w:noProof/>
                <w:spacing w:val="-13"/>
              </w:rPr>
              <w:t>6.1.</w:t>
            </w:r>
            <w:r w:rsidR="00A82BBA">
              <w:rPr>
                <w:rFonts w:asciiTheme="minorHAnsi" w:eastAsiaTheme="minorEastAsia" w:hAnsiTheme="minorHAnsi"/>
                <w:noProof/>
                <w:lang w:eastAsia="cs-CZ"/>
              </w:rPr>
              <w:tab/>
            </w:r>
            <w:r w:rsidR="00A82BBA" w:rsidRPr="00A5076D">
              <w:rPr>
                <w:rStyle w:val="Hyperlink"/>
                <w:rFonts w:cs="Times New Roman"/>
                <w:noProof/>
              </w:rPr>
              <w:t>Důležité informace o historickém o vývoji Emitenta</w:t>
            </w:r>
            <w:r w:rsidR="00A82BBA">
              <w:rPr>
                <w:noProof/>
                <w:webHidden/>
              </w:rPr>
              <w:tab/>
            </w:r>
            <w:r w:rsidR="00A82BBA">
              <w:rPr>
                <w:noProof/>
                <w:webHidden/>
              </w:rPr>
              <w:fldChar w:fldCharType="begin"/>
            </w:r>
            <w:r w:rsidR="00A82BBA">
              <w:rPr>
                <w:noProof/>
                <w:webHidden/>
              </w:rPr>
              <w:instrText xml:space="preserve"> PAGEREF _Toc46755371 \h </w:instrText>
            </w:r>
            <w:r w:rsidR="00A82BBA">
              <w:rPr>
                <w:noProof/>
                <w:webHidden/>
              </w:rPr>
            </w:r>
            <w:r w:rsidR="00A82BBA">
              <w:rPr>
                <w:noProof/>
                <w:webHidden/>
              </w:rPr>
              <w:fldChar w:fldCharType="separate"/>
            </w:r>
            <w:r w:rsidR="00EB6B41">
              <w:rPr>
                <w:noProof/>
                <w:webHidden/>
              </w:rPr>
              <w:t>8</w:t>
            </w:r>
            <w:r w:rsidR="00A82BBA">
              <w:rPr>
                <w:noProof/>
                <w:webHidden/>
              </w:rPr>
              <w:fldChar w:fldCharType="end"/>
            </w:r>
          </w:hyperlink>
        </w:p>
        <w:p w14:paraId="0C097964" w14:textId="7A1CCB51"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2" w:history="1">
            <w:r w:rsidR="00A82BBA" w:rsidRPr="00A5076D">
              <w:rPr>
                <w:rStyle w:val="Hyperlink"/>
                <w:rFonts w:ascii="Times New Roman Bold" w:eastAsia="Carlito" w:hAnsi="Times New Roman Bold" w:cs="Times New Roman"/>
                <w:bCs/>
                <w:noProof/>
                <w:spacing w:val="-13"/>
              </w:rPr>
              <w:t>6.2.</w:t>
            </w:r>
            <w:r w:rsidR="00A82BBA">
              <w:rPr>
                <w:rFonts w:asciiTheme="minorHAnsi" w:eastAsiaTheme="minorEastAsia" w:hAnsiTheme="minorHAnsi"/>
                <w:noProof/>
                <w:lang w:eastAsia="cs-CZ"/>
              </w:rPr>
              <w:tab/>
            </w:r>
            <w:r w:rsidR="00A82BBA" w:rsidRPr="00A5076D">
              <w:rPr>
                <w:rStyle w:val="Hyperlink"/>
                <w:rFonts w:cs="Times New Roman"/>
                <w:noProof/>
              </w:rPr>
              <w:t>Vlastnická struktura Emitenta</w:t>
            </w:r>
            <w:r w:rsidR="00A82BBA">
              <w:rPr>
                <w:noProof/>
                <w:webHidden/>
              </w:rPr>
              <w:tab/>
            </w:r>
            <w:r w:rsidR="00A82BBA">
              <w:rPr>
                <w:noProof/>
                <w:webHidden/>
              </w:rPr>
              <w:fldChar w:fldCharType="begin"/>
            </w:r>
            <w:r w:rsidR="00A82BBA">
              <w:rPr>
                <w:noProof/>
                <w:webHidden/>
              </w:rPr>
              <w:instrText xml:space="preserve"> PAGEREF _Toc46755372 \h </w:instrText>
            </w:r>
            <w:r w:rsidR="00A82BBA">
              <w:rPr>
                <w:noProof/>
                <w:webHidden/>
              </w:rPr>
            </w:r>
            <w:r w:rsidR="00A82BBA">
              <w:rPr>
                <w:noProof/>
                <w:webHidden/>
              </w:rPr>
              <w:fldChar w:fldCharType="separate"/>
            </w:r>
            <w:r w:rsidR="00EB6B41">
              <w:rPr>
                <w:noProof/>
                <w:webHidden/>
              </w:rPr>
              <w:t>9</w:t>
            </w:r>
            <w:r w:rsidR="00A82BBA">
              <w:rPr>
                <w:noProof/>
                <w:webHidden/>
              </w:rPr>
              <w:fldChar w:fldCharType="end"/>
            </w:r>
          </w:hyperlink>
        </w:p>
        <w:p w14:paraId="6282B596" w14:textId="441021F6"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3" w:history="1">
            <w:r w:rsidR="00A82BBA" w:rsidRPr="00A5076D">
              <w:rPr>
                <w:rStyle w:val="Hyperlink"/>
                <w:rFonts w:ascii="Times New Roman Bold" w:eastAsia="Carlito" w:hAnsi="Times New Roman Bold" w:cs="Times New Roman"/>
                <w:bCs/>
                <w:noProof/>
                <w:spacing w:val="-13"/>
              </w:rPr>
              <w:t>6.3.</w:t>
            </w:r>
            <w:r w:rsidR="00A82BBA">
              <w:rPr>
                <w:rFonts w:asciiTheme="minorHAnsi" w:eastAsiaTheme="minorEastAsia" w:hAnsiTheme="minorHAnsi"/>
                <w:noProof/>
                <w:lang w:eastAsia="cs-CZ"/>
              </w:rPr>
              <w:tab/>
            </w:r>
            <w:r w:rsidR="00A82BBA" w:rsidRPr="00A5076D">
              <w:rPr>
                <w:rStyle w:val="Hyperlink"/>
                <w:rFonts w:cs="Times New Roman"/>
                <w:noProof/>
              </w:rPr>
              <w:t>Obchodní záměr Emitenta</w:t>
            </w:r>
            <w:r w:rsidR="00A82BBA">
              <w:rPr>
                <w:noProof/>
                <w:webHidden/>
              </w:rPr>
              <w:tab/>
            </w:r>
            <w:r w:rsidR="00A82BBA">
              <w:rPr>
                <w:noProof/>
                <w:webHidden/>
              </w:rPr>
              <w:fldChar w:fldCharType="begin"/>
            </w:r>
            <w:r w:rsidR="00A82BBA">
              <w:rPr>
                <w:noProof/>
                <w:webHidden/>
              </w:rPr>
              <w:instrText xml:space="preserve"> PAGEREF _Toc46755373 \h </w:instrText>
            </w:r>
            <w:r w:rsidR="00A82BBA">
              <w:rPr>
                <w:noProof/>
                <w:webHidden/>
              </w:rPr>
            </w:r>
            <w:r w:rsidR="00A82BBA">
              <w:rPr>
                <w:noProof/>
                <w:webHidden/>
              </w:rPr>
              <w:fldChar w:fldCharType="separate"/>
            </w:r>
            <w:r w:rsidR="00EB6B41">
              <w:rPr>
                <w:noProof/>
                <w:webHidden/>
              </w:rPr>
              <w:t>9</w:t>
            </w:r>
            <w:r w:rsidR="00A82BBA">
              <w:rPr>
                <w:noProof/>
                <w:webHidden/>
              </w:rPr>
              <w:fldChar w:fldCharType="end"/>
            </w:r>
          </w:hyperlink>
        </w:p>
        <w:p w14:paraId="4B7D278A" w14:textId="56943892"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4" w:history="1">
            <w:r w:rsidR="00A82BBA" w:rsidRPr="00A5076D">
              <w:rPr>
                <w:rStyle w:val="Hyperlink"/>
                <w:rFonts w:ascii="Times New Roman Bold" w:eastAsia="Carlito" w:hAnsi="Times New Roman Bold" w:cs="Times New Roman"/>
                <w:bCs/>
                <w:noProof/>
                <w:spacing w:val="-13"/>
              </w:rPr>
              <w:t>6.4.</w:t>
            </w:r>
            <w:r w:rsidR="00A82BBA">
              <w:rPr>
                <w:rFonts w:asciiTheme="minorHAnsi" w:eastAsiaTheme="minorEastAsia" w:hAnsiTheme="minorHAnsi"/>
                <w:noProof/>
                <w:lang w:eastAsia="cs-CZ"/>
              </w:rPr>
              <w:tab/>
            </w:r>
            <w:r w:rsidR="00A82BBA" w:rsidRPr="00A5076D">
              <w:rPr>
                <w:rStyle w:val="Hyperlink"/>
                <w:rFonts w:cs="Times New Roman"/>
                <w:noProof/>
              </w:rPr>
              <w:t>Přehled klíčový zaměstnanců</w:t>
            </w:r>
            <w:r w:rsidR="00A82BBA">
              <w:rPr>
                <w:noProof/>
                <w:webHidden/>
              </w:rPr>
              <w:tab/>
            </w:r>
            <w:r w:rsidR="00A82BBA">
              <w:rPr>
                <w:noProof/>
                <w:webHidden/>
              </w:rPr>
              <w:fldChar w:fldCharType="begin"/>
            </w:r>
            <w:r w:rsidR="00A82BBA">
              <w:rPr>
                <w:noProof/>
                <w:webHidden/>
              </w:rPr>
              <w:instrText xml:space="preserve"> PAGEREF _Toc46755374 \h </w:instrText>
            </w:r>
            <w:r w:rsidR="00A82BBA">
              <w:rPr>
                <w:noProof/>
                <w:webHidden/>
              </w:rPr>
            </w:r>
            <w:r w:rsidR="00A82BBA">
              <w:rPr>
                <w:noProof/>
                <w:webHidden/>
              </w:rPr>
              <w:fldChar w:fldCharType="separate"/>
            </w:r>
            <w:r w:rsidR="00EB6B41">
              <w:rPr>
                <w:noProof/>
                <w:webHidden/>
              </w:rPr>
              <w:t>10</w:t>
            </w:r>
            <w:r w:rsidR="00A82BBA">
              <w:rPr>
                <w:noProof/>
                <w:webHidden/>
              </w:rPr>
              <w:fldChar w:fldCharType="end"/>
            </w:r>
          </w:hyperlink>
        </w:p>
        <w:p w14:paraId="1B62B021" w14:textId="4E7EEF24"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5" w:history="1">
            <w:r w:rsidR="00A82BBA" w:rsidRPr="00A5076D">
              <w:rPr>
                <w:rStyle w:val="Hyperlink"/>
                <w:rFonts w:ascii="Times New Roman Bold" w:eastAsia="Carlito" w:hAnsi="Times New Roman Bold" w:cs="Times New Roman"/>
                <w:bCs/>
                <w:noProof/>
                <w:spacing w:val="-13"/>
              </w:rPr>
              <w:t>6.5.</w:t>
            </w:r>
            <w:r w:rsidR="00A82BBA">
              <w:rPr>
                <w:rFonts w:asciiTheme="minorHAnsi" w:eastAsiaTheme="minorEastAsia" w:hAnsiTheme="minorHAnsi"/>
                <w:noProof/>
                <w:lang w:eastAsia="cs-CZ"/>
              </w:rPr>
              <w:tab/>
            </w:r>
            <w:r w:rsidR="00A82BBA" w:rsidRPr="00A5076D">
              <w:rPr>
                <w:rStyle w:val="Hyperlink"/>
                <w:rFonts w:cs="Times New Roman"/>
                <w:noProof/>
              </w:rPr>
              <w:t>Informace o právních sporech emitenta</w:t>
            </w:r>
            <w:r w:rsidR="00A82BBA">
              <w:rPr>
                <w:noProof/>
                <w:webHidden/>
              </w:rPr>
              <w:tab/>
            </w:r>
            <w:r w:rsidR="00A82BBA">
              <w:rPr>
                <w:noProof/>
                <w:webHidden/>
              </w:rPr>
              <w:fldChar w:fldCharType="begin"/>
            </w:r>
            <w:r w:rsidR="00A82BBA">
              <w:rPr>
                <w:noProof/>
                <w:webHidden/>
              </w:rPr>
              <w:instrText xml:space="preserve"> PAGEREF _Toc46755375 \h </w:instrText>
            </w:r>
            <w:r w:rsidR="00A82BBA">
              <w:rPr>
                <w:noProof/>
                <w:webHidden/>
              </w:rPr>
            </w:r>
            <w:r w:rsidR="00A82BBA">
              <w:rPr>
                <w:noProof/>
                <w:webHidden/>
              </w:rPr>
              <w:fldChar w:fldCharType="separate"/>
            </w:r>
            <w:r w:rsidR="00EB6B41">
              <w:rPr>
                <w:noProof/>
                <w:webHidden/>
              </w:rPr>
              <w:t>11</w:t>
            </w:r>
            <w:r w:rsidR="00A82BBA">
              <w:rPr>
                <w:noProof/>
                <w:webHidden/>
              </w:rPr>
              <w:fldChar w:fldCharType="end"/>
            </w:r>
          </w:hyperlink>
        </w:p>
        <w:p w14:paraId="340B910B" w14:textId="51ADB8AF"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6" w:history="1">
            <w:r w:rsidR="00A82BBA" w:rsidRPr="00A5076D">
              <w:rPr>
                <w:rStyle w:val="Hyperlink"/>
                <w:rFonts w:ascii="Times New Roman Bold" w:eastAsia="Carlito" w:hAnsi="Times New Roman Bold" w:cs="Times New Roman"/>
                <w:bCs/>
                <w:noProof/>
                <w:spacing w:val="-13"/>
              </w:rPr>
              <w:t>6.6.</w:t>
            </w:r>
            <w:r w:rsidR="00A82BBA">
              <w:rPr>
                <w:rFonts w:asciiTheme="minorHAnsi" w:eastAsiaTheme="minorEastAsia" w:hAnsiTheme="minorHAnsi"/>
                <w:noProof/>
                <w:lang w:eastAsia="cs-CZ"/>
              </w:rPr>
              <w:tab/>
            </w:r>
            <w:r w:rsidR="00A82BBA" w:rsidRPr="00A5076D">
              <w:rPr>
                <w:rStyle w:val="Hyperlink"/>
                <w:rFonts w:cs="Times New Roman"/>
                <w:noProof/>
              </w:rPr>
              <w:t>Historické finanční výkazy</w:t>
            </w:r>
            <w:r w:rsidR="00A82BBA">
              <w:rPr>
                <w:noProof/>
                <w:webHidden/>
              </w:rPr>
              <w:tab/>
            </w:r>
            <w:r w:rsidR="00A82BBA">
              <w:rPr>
                <w:noProof/>
                <w:webHidden/>
              </w:rPr>
              <w:fldChar w:fldCharType="begin"/>
            </w:r>
            <w:r w:rsidR="00A82BBA">
              <w:rPr>
                <w:noProof/>
                <w:webHidden/>
              </w:rPr>
              <w:instrText xml:space="preserve"> PAGEREF _Toc46755376 \h </w:instrText>
            </w:r>
            <w:r w:rsidR="00A82BBA">
              <w:rPr>
                <w:noProof/>
                <w:webHidden/>
              </w:rPr>
            </w:r>
            <w:r w:rsidR="00A82BBA">
              <w:rPr>
                <w:noProof/>
                <w:webHidden/>
              </w:rPr>
              <w:fldChar w:fldCharType="separate"/>
            </w:r>
            <w:r w:rsidR="00EB6B41">
              <w:rPr>
                <w:noProof/>
                <w:webHidden/>
              </w:rPr>
              <w:t>11</w:t>
            </w:r>
            <w:r w:rsidR="00A82BBA">
              <w:rPr>
                <w:noProof/>
                <w:webHidden/>
              </w:rPr>
              <w:fldChar w:fldCharType="end"/>
            </w:r>
          </w:hyperlink>
        </w:p>
        <w:p w14:paraId="3AC82F88" w14:textId="72D92B16"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7" w:history="1">
            <w:r w:rsidR="00A82BBA" w:rsidRPr="00A5076D">
              <w:rPr>
                <w:rStyle w:val="Hyperlink"/>
                <w:rFonts w:ascii="Times New Roman Bold" w:eastAsia="Carlito" w:hAnsi="Times New Roman Bold" w:cs="Times New Roman"/>
                <w:bCs/>
                <w:noProof/>
                <w:spacing w:val="-13"/>
              </w:rPr>
              <w:t>6.7.</w:t>
            </w:r>
            <w:r w:rsidR="00A82BBA">
              <w:rPr>
                <w:rFonts w:asciiTheme="minorHAnsi" w:eastAsiaTheme="minorEastAsia" w:hAnsiTheme="minorHAnsi"/>
                <w:noProof/>
                <w:lang w:eastAsia="cs-CZ"/>
              </w:rPr>
              <w:tab/>
            </w:r>
            <w:r w:rsidR="00A82BBA" w:rsidRPr="00A5076D">
              <w:rPr>
                <w:rStyle w:val="Hyperlink"/>
                <w:rFonts w:cs="Times New Roman"/>
                <w:noProof/>
              </w:rPr>
              <w:t>Predikce finančních výkazů</w:t>
            </w:r>
            <w:r w:rsidR="00A82BBA">
              <w:rPr>
                <w:noProof/>
                <w:webHidden/>
              </w:rPr>
              <w:tab/>
            </w:r>
            <w:r w:rsidR="00A82BBA">
              <w:rPr>
                <w:noProof/>
                <w:webHidden/>
              </w:rPr>
              <w:fldChar w:fldCharType="begin"/>
            </w:r>
            <w:r w:rsidR="00A82BBA">
              <w:rPr>
                <w:noProof/>
                <w:webHidden/>
              </w:rPr>
              <w:instrText xml:space="preserve"> PAGEREF _Toc46755377 \h </w:instrText>
            </w:r>
            <w:r w:rsidR="00A82BBA">
              <w:rPr>
                <w:noProof/>
                <w:webHidden/>
              </w:rPr>
            </w:r>
            <w:r w:rsidR="00A82BBA">
              <w:rPr>
                <w:noProof/>
                <w:webHidden/>
              </w:rPr>
              <w:fldChar w:fldCharType="separate"/>
            </w:r>
            <w:r w:rsidR="00EB6B41">
              <w:rPr>
                <w:noProof/>
                <w:webHidden/>
              </w:rPr>
              <w:t>14</w:t>
            </w:r>
            <w:r w:rsidR="00A82BBA">
              <w:rPr>
                <w:noProof/>
                <w:webHidden/>
              </w:rPr>
              <w:fldChar w:fldCharType="end"/>
            </w:r>
          </w:hyperlink>
        </w:p>
        <w:p w14:paraId="2CD45AC3" w14:textId="6FBDC39A" w:rsidR="00A82BBA" w:rsidRDefault="00084FCF">
          <w:pPr>
            <w:pStyle w:val="TOC2"/>
            <w:tabs>
              <w:tab w:val="left" w:pos="880"/>
              <w:tab w:val="right" w:leader="dot" w:pos="9062"/>
            </w:tabs>
            <w:rPr>
              <w:rFonts w:asciiTheme="minorHAnsi" w:eastAsiaTheme="minorEastAsia" w:hAnsiTheme="minorHAnsi"/>
              <w:noProof/>
              <w:lang w:eastAsia="cs-CZ"/>
            </w:rPr>
          </w:pPr>
          <w:hyperlink w:anchor="_Toc46755378" w:history="1">
            <w:r w:rsidR="00A82BBA" w:rsidRPr="00A5076D">
              <w:rPr>
                <w:rStyle w:val="Hyperlink"/>
                <w:rFonts w:ascii="Times New Roman Bold" w:eastAsia="Carlito" w:hAnsi="Times New Roman Bold" w:cs="Times New Roman"/>
                <w:bCs/>
                <w:noProof/>
                <w:spacing w:val="-13"/>
              </w:rPr>
              <w:t>6.8.</w:t>
            </w:r>
            <w:r w:rsidR="00A82BBA">
              <w:rPr>
                <w:rFonts w:asciiTheme="minorHAnsi" w:eastAsiaTheme="minorEastAsia" w:hAnsiTheme="minorHAnsi"/>
                <w:noProof/>
                <w:lang w:eastAsia="cs-CZ"/>
              </w:rPr>
              <w:tab/>
            </w:r>
            <w:r w:rsidR="00A82BBA" w:rsidRPr="00A5076D">
              <w:rPr>
                <w:rStyle w:val="Hyperlink"/>
                <w:rFonts w:cs="Times New Roman"/>
                <w:noProof/>
              </w:rPr>
              <w:t>Zásady Corporate Governance</w:t>
            </w:r>
            <w:r w:rsidR="00A82BBA">
              <w:rPr>
                <w:noProof/>
                <w:webHidden/>
              </w:rPr>
              <w:tab/>
            </w:r>
            <w:r w:rsidR="00A82BBA">
              <w:rPr>
                <w:noProof/>
                <w:webHidden/>
              </w:rPr>
              <w:fldChar w:fldCharType="begin"/>
            </w:r>
            <w:r w:rsidR="00A82BBA">
              <w:rPr>
                <w:noProof/>
                <w:webHidden/>
              </w:rPr>
              <w:instrText xml:space="preserve"> PAGEREF _Toc46755378 \h </w:instrText>
            </w:r>
            <w:r w:rsidR="00A82BBA">
              <w:rPr>
                <w:noProof/>
                <w:webHidden/>
              </w:rPr>
            </w:r>
            <w:r w:rsidR="00A82BBA">
              <w:rPr>
                <w:noProof/>
                <w:webHidden/>
              </w:rPr>
              <w:fldChar w:fldCharType="separate"/>
            </w:r>
            <w:r w:rsidR="00EB6B41">
              <w:rPr>
                <w:noProof/>
                <w:webHidden/>
              </w:rPr>
              <w:t>14</w:t>
            </w:r>
            <w:r w:rsidR="00A82BBA">
              <w:rPr>
                <w:noProof/>
                <w:webHidden/>
              </w:rPr>
              <w:fldChar w:fldCharType="end"/>
            </w:r>
          </w:hyperlink>
        </w:p>
        <w:p w14:paraId="69AAA2F5" w14:textId="20692D2D"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79" w:history="1">
            <w:r w:rsidR="00A82BBA" w:rsidRPr="00A5076D">
              <w:rPr>
                <w:rStyle w:val="Hyperlink"/>
                <w:rFonts w:eastAsia="Carlito" w:cs="Times New Roman"/>
                <w:bCs/>
                <w:noProof/>
                <w:spacing w:val="-1"/>
              </w:rPr>
              <w:t>7.</w:t>
            </w:r>
            <w:r w:rsidR="00A82BBA">
              <w:rPr>
                <w:rFonts w:asciiTheme="minorHAnsi" w:eastAsiaTheme="minorEastAsia" w:hAnsiTheme="minorHAnsi"/>
                <w:noProof/>
                <w:lang w:eastAsia="cs-CZ"/>
              </w:rPr>
              <w:tab/>
            </w:r>
            <w:r w:rsidR="00A82BBA" w:rsidRPr="00A5076D">
              <w:rPr>
                <w:rStyle w:val="Hyperlink"/>
                <w:rFonts w:cs="Times New Roman"/>
                <w:noProof/>
              </w:rPr>
              <w:t>Příloha č. 1 - Č</w:t>
            </w:r>
            <w:r w:rsidR="00A82BBA" w:rsidRPr="00A5076D">
              <w:rPr>
                <w:rStyle w:val="Hyperlink"/>
                <w:noProof/>
              </w:rPr>
              <w:t>estné prohlášení Emitenta</w:t>
            </w:r>
            <w:r w:rsidR="00A82BBA">
              <w:rPr>
                <w:noProof/>
                <w:webHidden/>
              </w:rPr>
              <w:tab/>
            </w:r>
            <w:r w:rsidR="00A82BBA">
              <w:rPr>
                <w:noProof/>
                <w:webHidden/>
              </w:rPr>
              <w:fldChar w:fldCharType="begin"/>
            </w:r>
            <w:r w:rsidR="00A82BBA">
              <w:rPr>
                <w:noProof/>
                <w:webHidden/>
              </w:rPr>
              <w:instrText xml:space="preserve"> PAGEREF _Toc46755379 \h </w:instrText>
            </w:r>
            <w:r w:rsidR="00A82BBA">
              <w:rPr>
                <w:noProof/>
                <w:webHidden/>
              </w:rPr>
            </w:r>
            <w:r w:rsidR="00A82BBA">
              <w:rPr>
                <w:noProof/>
                <w:webHidden/>
              </w:rPr>
              <w:fldChar w:fldCharType="separate"/>
            </w:r>
            <w:r w:rsidR="00EB6B41">
              <w:rPr>
                <w:noProof/>
                <w:webHidden/>
              </w:rPr>
              <w:t>15</w:t>
            </w:r>
            <w:r w:rsidR="00A82BBA">
              <w:rPr>
                <w:noProof/>
                <w:webHidden/>
              </w:rPr>
              <w:fldChar w:fldCharType="end"/>
            </w:r>
          </w:hyperlink>
        </w:p>
        <w:p w14:paraId="523A9314" w14:textId="03CC446B"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80" w:history="1">
            <w:r w:rsidR="00A82BBA" w:rsidRPr="00A5076D">
              <w:rPr>
                <w:rStyle w:val="Hyperlink"/>
                <w:rFonts w:eastAsia="Carlito" w:cs="Times New Roman"/>
                <w:bCs/>
                <w:noProof/>
                <w:spacing w:val="-1"/>
              </w:rPr>
              <w:t>8.</w:t>
            </w:r>
            <w:r w:rsidR="00A82BBA">
              <w:rPr>
                <w:rFonts w:asciiTheme="minorHAnsi" w:eastAsiaTheme="minorEastAsia" w:hAnsiTheme="minorHAnsi"/>
                <w:noProof/>
                <w:lang w:eastAsia="cs-CZ"/>
              </w:rPr>
              <w:tab/>
            </w:r>
            <w:r w:rsidR="00A82BBA" w:rsidRPr="00A5076D">
              <w:rPr>
                <w:rStyle w:val="Hyperlink"/>
                <w:rFonts w:cs="Times New Roman"/>
                <w:noProof/>
              </w:rPr>
              <w:t>Příloha č. 2 - Č</w:t>
            </w:r>
            <w:r w:rsidR="00A82BBA" w:rsidRPr="00A5076D">
              <w:rPr>
                <w:rStyle w:val="Hyperlink"/>
                <w:noProof/>
              </w:rPr>
              <w:t>estné prohlášení člena burzy</w:t>
            </w:r>
            <w:r w:rsidR="00A82BBA">
              <w:rPr>
                <w:noProof/>
                <w:webHidden/>
              </w:rPr>
              <w:tab/>
            </w:r>
            <w:r w:rsidR="00A82BBA">
              <w:rPr>
                <w:noProof/>
                <w:webHidden/>
              </w:rPr>
              <w:fldChar w:fldCharType="begin"/>
            </w:r>
            <w:r w:rsidR="00A82BBA">
              <w:rPr>
                <w:noProof/>
                <w:webHidden/>
              </w:rPr>
              <w:instrText xml:space="preserve"> PAGEREF _Toc46755380 \h </w:instrText>
            </w:r>
            <w:r w:rsidR="00A82BBA">
              <w:rPr>
                <w:noProof/>
                <w:webHidden/>
              </w:rPr>
            </w:r>
            <w:r w:rsidR="00A82BBA">
              <w:rPr>
                <w:noProof/>
                <w:webHidden/>
              </w:rPr>
              <w:fldChar w:fldCharType="separate"/>
            </w:r>
            <w:r w:rsidR="00EB6B41">
              <w:rPr>
                <w:noProof/>
                <w:webHidden/>
              </w:rPr>
              <w:t>16</w:t>
            </w:r>
            <w:r w:rsidR="00A82BBA">
              <w:rPr>
                <w:noProof/>
                <w:webHidden/>
              </w:rPr>
              <w:fldChar w:fldCharType="end"/>
            </w:r>
          </w:hyperlink>
        </w:p>
        <w:p w14:paraId="2C294CB2" w14:textId="3D332193" w:rsidR="00A82BBA" w:rsidRDefault="00084FCF">
          <w:pPr>
            <w:pStyle w:val="TOC1"/>
            <w:tabs>
              <w:tab w:val="left" w:pos="440"/>
              <w:tab w:val="right" w:leader="dot" w:pos="9062"/>
            </w:tabs>
            <w:rPr>
              <w:rFonts w:asciiTheme="minorHAnsi" w:eastAsiaTheme="minorEastAsia" w:hAnsiTheme="minorHAnsi"/>
              <w:noProof/>
              <w:lang w:eastAsia="cs-CZ"/>
            </w:rPr>
          </w:pPr>
          <w:hyperlink w:anchor="_Toc46755381" w:history="1">
            <w:r w:rsidR="00A82BBA" w:rsidRPr="00A5076D">
              <w:rPr>
                <w:rStyle w:val="Hyperlink"/>
                <w:rFonts w:eastAsia="Carlito" w:cs="Times New Roman"/>
                <w:bCs/>
                <w:noProof/>
                <w:spacing w:val="-1"/>
              </w:rPr>
              <w:t>9.</w:t>
            </w:r>
            <w:r w:rsidR="00A82BBA">
              <w:rPr>
                <w:rFonts w:asciiTheme="minorHAnsi" w:eastAsiaTheme="minorEastAsia" w:hAnsiTheme="minorHAnsi"/>
                <w:noProof/>
                <w:lang w:eastAsia="cs-CZ"/>
              </w:rPr>
              <w:tab/>
            </w:r>
            <w:r w:rsidR="00A82BBA" w:rsidRPr="00A5076D">
              <w:rPr>
                <w:rStyle w:val="Hyperlink"/>
                <w:rFonts w:cs="Times New Roman"/>
                <w:noProof/>
              </w:rPr>
              <w:t>Příloha č. 3 – Vlastnická struktura Emitenta</w:t>
            </w:r>
            <w:r w:rsidR="00A82BBA">
              <w:rPr>
                <w:noProof/>
                <w:webHidden/>
              </w:rPr>
              <w:tab/>
            </w:r>
            <w:r w:rsidR="00A82BBA">
              <w:rPr>
                <w:noProof/>
                <w:webHidden/>
              </w:rPr>
              <w:fldChar w:fldCharType="begin"/>
            </w:r>
            <w:r w:rsidR="00A82BBA">
              <w:rPr>
                <w:noProof/>
                <w:webHidden/>
              </w:rPr>
              <w:instrText xml:space="preserve"> PAGEREF _Toc46755381 \h </w:instrText>
            </w:r>
            <w:r w:rsidR="00A82BBA">
              <w:rPr>
                <w:noProof/>
                <w:webHidden/>
              </w:rPr>
            </w:r>
            <w:r w:rsidR="00A82BBA">
              <w:rPr>
                <w:noProof/>
                <w:webHidden/>
              </w:rPr>
              <w:fldChar w:fldCharType="separate"/>
            </w:r>
            <w:r w:rsidR="00EB6B41">
              <w:rPr>
                <w:noProof/>
                <w:webHidden/>
              </w:rPr>
              <w:t>17</w:t>
            </w:r>
            <w:r w:rsidR="00A82BBA">
              <w:rPr>
                <w:noProof/>
                <w:webHidden/>
              </w:rPr>
              <w:fldChar w:fldCharType="end"/>
            </w:r>
          </w:hyperlink>
        </w:p>
        <w:p w14:paraId="65183ADB" w14:textId="142DA5B4" w:rsidR="00E85C51" w:rsidRDefault="00E85C51" w:rsidP="00856149">
          <w:pPr>
            <w:spacing w:line="276" w:lineRule="auto"/>
            <w:jc w:val="both"/>
          </w:pPr>
          <w:r w:rsidRPr="00E85C51">
            <w:rPr>
              <w:rFonts w:cs="Times New Roman"/>
              <w:b/>
              <w:bCs/>
              <w:noProof/>
            </w:rPr>
            <w:fldChar w:fldCharType="end"/>
          </w:r>
        </w:p>
      </w:sdtContent>
    </w:sdt>
    <w:p w14:paraId="3461C0D4" w14:textId="35F02F6D" w:rsidR="00A82BBA" w:rsidRDefault="00A82BBA" w:rsidP="00856149">
      <w:pPr>
        <w:spacing w:line="276" w:lineRule="auto"/>
        <w:jc w:val="both"/>
        <w:rPr>
          <w:rFonts w:cs="Times New Roman"/>
        </w:rPr>
        <w:sectPr w:rsidR="00A82BBA" w:rsidSect="00A82B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pPr>
    </w:p>
    <w:p w14:paraId="30EA7F8A" w14:textId="6B266C39" w:rsidR="00000323" w:rsidRPr="00865B3C" w:rsidRDefault="00000323" w:rsidP="00856149">
      <w:pPr>
        <w:pStyle w:val="Heading1"/>
        <w:spacing w:line="276" w:lineRule="auto"/>
        <w:jc w:val="both"/>
        <w:rPr>
          <w:rFonts w:cs="Times New Roman"/>
        </w:rPr>
      </w:pPr>
      <w:bookmarkStart w:id="0" w:name="_Toc46755351"/>
      <w:r w:rsidRPr="00865B3C">
        <w:rPr>
          <w:rFonts w:cs="Times New Roman"/>
        </w:rPr>
        <w:lastRenderedPageBreak/>
        <w:t>Základní informace</w:t>
      </w:r>
      <w:bookmarkEnd w:id="0"/>
    </w:p>
    <w:p w14:paraId="2F2B8D3A" w14:textId="77777777" w:rsidR="00000323" w:rsidRPr="00865B3C" w:rsidRDefault="00000323" w:rsidP="00856149">
      <w:pPr>
        <w:spacing w:line="276" w:lineRule="auto"/>
        <w:jc w:val="both"/>
        <w:rPr>
          <w:rFonts w:cs="Times New Roman"/>
        </w:rPr>
      </w:pPr>
    </w:p>
    <w:p w14:paraId="34D5B779" w14:textId="77777777" w:rsidR="00000323" w:rsidRPr="00865B3C" w:rsidRDefault="00000323" w:rsidP="00856149">
      <w:pPr>
        <w:pStyle w:val="Heading2"/>
        <w:spacing w:line="276" w:lineRule="auto"/>
        <w:jc w:val="both"/>
        <w:rPr>
          <w:rFonts w:cs="Times New Roman"/>
        </w:rPr>
      </w:pPr>
      <w:bookmarkStart w:id="1" w:name="_Toc46755352"/>
      <w:r w:rsidRPr="00865B3C">
        <w:rPr>
          <w:rFonts w:cs="Times New Roman"/>
        </w:rPr>
        <w:t>Údaje o emitentovi</w:t>
      </w:r>
      <w:bookmarkEnd w:id="1"/>
    </w:p>
    <w:p w14:paraId="05EC68CA" w14:textId="77777777" w:rsidR="00000323" w:rsidRPr="00865B3C" w:rsidRDefault="00000323" w:rsidP="00856149">
      <w:pPr>
        <w:spacing w:line="276" w:lineRule="auto"/>
        <w:jc w:val="both"/>
        <w:rPr>
          <w:rFonts w:cs="Times New Roman"/>
        </w:rPr>
      </w:pPr>
    </w:p>
    <w:tbl>
      <w:tblPr>
        <w:tblStyle w:val="TableGrid"/>
        <w:tblW w:w="0" w:type="auto"/>
        <w:tblLook w:val="04A0" w:firstRow="1" w:lastRow="0" w:firstColumn="1" w:lastColumn="0" w:noHBand="0" w:noVBand="1"/>
      </w:tblPr>
      <w:tblGrid>
        <w:gridCol w:w="4531"/>
        <w:gridCol w:w="4531"/>
      </w:tblGrid>
      <w:tr w:rsidR="00000323" w:rsidRPr="00865B3C" w14:paraId="420057AB" w14:textId="77777777" w:rsidTr="00865B3C">
        <w:tc>
          <w:tcPr>
            <w:tcW w:w="4531" w:type="dxa"/>
          </w:tcPr>
          <w:p w14:paraId="597CB9F7"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Název:</w:t>
            </w:r>
          </w:p>
        </w:tc>
        <w:tc>
          <w:tcPr>
            <w:tcW w:w="4531" w:type="dxa"/>
          </w:tcPr>
          <w:p w14:paraId="20F7157E"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Raiffeisenbank a.s.</w:t>
            </w:r>
          </w:p>
        </w:tc>
      </w:tr>
      <w:tr w:rsidR="00000323" w:rsidRPr="00865B3C" w14:paraId="40440549" w14:textId="77777777" w:rsidTr="00865B3C">
        <w:tc>
          <w:tcPr>
            <w:tcW w:w="4531" w:type="dxa"/>
          </w:tcPr>
          <w:p w14:paraId="22300D3F"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Právní forma:</w:t>
            </w:r>
          </w:p>
        </w:tc>
        <w:tc>
          <w:tcPr>
            <w:tcW w:w="4531" w:type="dxa"/>
          </w:tcPr>
          <w:p w14:paraId="2878E05D"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Akciová společnost</w:t>
            </w:r>
          </w:p>
        </w:tc>
      </w:tr>
      <w:tr w:rsidR="00000323" w:rsidRPr="00865B3C" w14:paraId="67531962" w14:textId="77777777" w:rsidTr="00865B3C">
        <w:tc>
          <w:tcPr>
            <w:tcW w:w="4531" w:type="dxa"/>
          </w:tcPr>
          <w:p w14:paraId="0C8B8F86"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Registrovaná adresa:</w:t>
            </w:r>
          </w:p>
        </w:tc>
        <w:tc>
          <w:tcPr>
            <w:tcW w:w="4531" w:type="dxa"/>
          </w:tcPr>
          <w:p w14:paraId="610DBE87"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Hvězdova 1716/2b, Praha, 140 78</w:t>
            </w:r>
          </w:p>
        </w:tc>
      </w:tr>
      <w:tr w:rsidR="00000323" w:rsidRPr="00865B3C" w14:paraId="461D0E09" w14:textId="77777777" w:rsidTr="00865B3C">
        <w:tc>
          <w:tcPr>
            <w:tcW w:w="4531" w:type="dxa"/>
          </w:tcPr>
          <w:p w14:paraId="7A01A45B"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Telefon:</w:t>
            </w:r>
          </w:p>
        </w:tc>
        <w:tc>
          <w:tcPr>
            <w:tcW w:w="4531" w:type="dxa"/>
          </w:tcPr>
          <w:p w14:paraId="2C0B3C82"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+420 722 0868 887</w:t>
            </w:r>
          </w:p>
        </w:tc>
      </w:tr>
      <w:tr w:rsidR="00000323" w:rsidRPr="00865B3C" w14:paraId="3DDF956E" w14:textId="77777777" w:rsidTr="00865B3C">
        <w:tc>
          <w:tcPr>
            <w:tcW w:w="4531" w:type="dxa"/>
          </w:tcPr>
          <w:p w14:paraId="63B03BB2"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E-mail:</w:t>
            </w:r>
          </w:p>
        </w:tc>
        <w:tc>
          <w:tcPr>
            <w:tcW w:w="4531" w:type="dxa"/>
          </w:tcPr>
          <w:p w14:paraId="7AEEFFFD"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petra.kubu@rb.cz</w:t>
            </w:r>
          </w:p>
        </w:tc>
      </w:tr>
      <w:tr w:rsidR="00000323" w:rsidRPr="00865B3C" w14:paraId="27543F75" w14:textId="77777777" w:rsidTr="00865B3C">
        <w:tc>
          <w:tcPr>
            <w:tcW w:w="4531" w:type="dxa"/>
          </w:tcPr>
          <w:p w14:paraId="45747500"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www:</w:t>
            </w:r>
          </w:p>
        </w:tc>
        <w:tc>
          <w:tcPr>
            <w:tcW w:w="4531" w:type="dxa"/>
          </w:tcPr>
          <w:p w14:paraId="1FB96B40"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www.rb.cz</w:t>
            </w:r>
          </w:p>
        </w:tc>
      </w:tr>
      <w:tr w:rsidR="00000323" w:rsidRPr="00865B3C" w14:paraId="342C3709" w14:textId="77777777" w:rsidTr="00865B3C">
        <w:tc>
          <w:tcPr>
            <w:tcW w:w="4531" w:type="dxa"/>
          </w:tcPr>
          <w:p w14:paraId="661330BC"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IČO:</w:t>
            </w:r>
          </w:p>
        </w:tc>
        <w:tc>
          <w:tcPr>
            <w:tcW w:w="4531" w:type="dxa"/>
          </w:tcPr>
          <w:p w14:paraId="09419635"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492 40 901</w:t>
            </w:r>
          </w:p>
        </w:tc>
      </w:tr>
      <w:tr w:rsidR="00000323" w:rsidRPr="00865B3C" w14:paraId="3815E834" w14:textId="77777777" w:rsidTr="00865B3C">
        <w:tc>
          <w:tcPr>
            <w:tcW w:w="4531" w:type="dxa"/>
          </w:tcPr>
          <w:p w14:paraId="1F482E8F"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DIČ:</w:t>
            </w:r>
          </w:p>
        </w:tc>
        <w:tc>
          <w:tcPr>
            <w:tcW w:w="4531" w:type="dxa"/>
          </w:tcPr>
          <w:p w14:paraId="2F2EF912"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CZ699003154</w:t>
            </w:r>
          </w:p>
        </w:tc>
      </w:tr>
    </w:tbl>
    <w:p w14:paraId="3B79E35D" w14:textId="77777777" w:rsidR="00000323" w:rsidRPr="00865B3C" w:rsidRDefault="00000323" w:rsidP="00856149">
      <w:pPr>
        <w:spacing w:line="276" w:lineRule="auto"/>
        <w:jc w:val="both"/>
        <w:rPr>
          <w:rFonts w:cs="Times New Roman"/>
        </w:rPr>
      </w:pPr>
    </w:p>
    <w:p w14:paraId="4E1443C5" w14:textId="3BD0829B" w:rsidR="00000323" w:rsidRPr="00865B3C" w:rsidRDefault="00000323" w:rsidP="00856149">
      <w:pPr>
        <w:pStyle w:val="Heading2"/>
        <w:spacing w:line="276" w:lineRule="auto"/>
        <w:jc w:val="both"/>
        <w:rPr>
          <w:rFonts w:cs="Times New Roman"/>
        </w:rPr>
      </w:pPr>
      <w:bookmarkStart w:id="2" w:name="_Toc46755353"/>
      <w:r w:rsidRPr="00865B3C">
        <w:rPr>
          <w:rFonts w:cs="Times New Roman"/>
        </w:rPr>
        <w:t>Údaje o žádajícím členovi burzy</w:t>
      </w:r>
      <w:bookmarkEnd w:id="2"/>
      <w:r w:rsidRPr="00865B3C">
        <w:rPr>
          <w:rFonts w:cs="Times New Roman"/>
        </w:rPr>
        <w:t xml:space="preserve"> </w:t>
      </w:r>
    </w:p>
    <w:p w14:paraId="7A78C65D" w14:textId="77777777" w:rsidR="00000323" w:rsidRPr="00865B3C" w:rsidRDefault="00000323" w:rsidP="00856149">
      <w:pPr>
        <w:spacing w:line="276" w:lineRule="auto"/>
        <w:jc w:val="both"/>
        <w:rPr>
          <w:rFonts w:cs="Times New Roman"/>
        </w:rPr>
      </w:pPr>
    </w:p>
    <w:tbl>
      <w:tblPr>
        <w:tblStyle w:val="TableGrid"/>
        <w:tblW w:w="0" w:type="auto"/>
        <w:tblLook w:val="04A0" w:firstRow="1" w:lastRow="0" w:firstColumn="1" w:lastColumn="0" w:noHBand="0" w:noVBand="1"/>
      </w:tblPr>
      <w:tblGrid>
        <w:gridCol w:w="4531"/>
        <w:gridCol w:w="4531"/>
      </w:tblGrid>
      <w:tr w:rsidR="00000323" w:rsidRPr="00865B3C" w14:paraId="7F43A6B0" w14:textId="77777777" w:rsidTr="00865B3C">
        <w:tc>
          <w:tcPr>
            <w:tcW w:w="4531" w:type="dxa"/>
          </w:tcPr>
          <w:p w14:paraId="065EC9E9"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Název:</w:t>
            </w:r>
          </w:p>
        </w:tc>
        <w:tc>
          <w:tcPr>
            <w:tcW w:w="4531" w:type="dxa"/>
          </w:tcPr>
          <w:p w14:paraId="7D74A750"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Raiffeisenbank a.s.</w:t>
            </w:r>
          </w:p>
        </w:tc>
      </w:tr>
      <w:tr w:rsidR="00000323" w:rsidRPr="00865B3C" w14:paraId="254DC453" w14:textId="77777777" w:rsidTr="00865B3C">
        <w:tc>
          <w:tcPr>
            <w:tcW w:w="4531" w:type="dxa"/>
          </w:tcPr>
          <w:p w14:paraId="615EAD3D"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Právní forma:</w:t>
            </w:r>
          </w:p>
        </w:tc>
        <w:tc>
          <w:tcPr>
            <w:tcW w:w="4531" w:type="dxa"/>
          </w:tcPr>
          <w:p w14:paraId="0828EE61"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Akciová společnost</w:t>
            </w:r>
          </w:p>
        </w:tc>
      </w:tr>
      <w:tr w:rsidR="00000323" w:rsidRPr="00865B3C" w14:paraId="2C3350D3" w14:textId="77777777" w:rsidTr="00865B3C">
        <w:tc>
          <w:tcPr>
            <w:tcW w:w="4531" w:type="dxa"/>
          </w:tcPr>
          <w:p w14:paraId="337169C3"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Registrovaná adresa:</w:t>
            </w:r>
          </w:p>
        </w:tc>
        <w:tc>
          <w:tcPr>
            <w:tcW w:w="4531" w:type="dxa"/>
          </w:tcPr>
          <w:p w14:paraId="20F32DDE"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Hvězdova 1716/2b, Praha, 140 78</w:t>
            </w:r>
          </w:p>
        </w:tc>
      </w:tr>
      <w:tr w:rsidR="00000323" w:rsidRPr="00865B3C" w14:paraId="1ABD906B" w14:textId="77777777" w:rsidTr="00865B3C">
        <w:tc>
          <w:tcPr>
            <w:tcW w:w="4531" w:type="dxa"/>
          </w:tcPr>
          <w:p w14:paraId="47B08AD0"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Telefon:</w:t>
            </w:r>
          </w:p>
        </w:tc>
        <w:tc>
          <w:tcPr>
            <w:tcW w:w="4531" w:type="dxa"/>
          </w:tcPr>
          <w:p w14:paraId="5ACA376F"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+420 722 0868 887</w:t>
            </w:r>
          </w:p>
        </w:tc>
      </w:tr>
      <w:tr w:rsidR="00000323" w:rsidRPr="00865B3C" w14:paraId="680CF3E7" w14:textId="77777777" w:rsidTr="00865B3C">
        <w:tc>
          <w:tcPr>
            <w:tcW w:w="4531" w:type="dxa"/>
          </w:tcPr>
          <w:p w14:paraId="755A0C58"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E-mail:</w:t>
            </w:r>
          </w:p>
        </w:tc>
        <w:tc>
          <w:tcPr>
            <w:tcW w:w="4531" w:type="dxa"/>
          </w:tcPr>
          <w:p w14:paraId="1A988402"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petra.kubu@rb.cz</w:t>
            </w:r>
          </w:p>
        </w:tc>
      </w:tr>
      <w:tr w:rsidR="00000323" w:rsidRPr="00865B3C" w14:paraId="26E15FCE" w14:textId="77777777" w:rsidTr="00865B3C">
        <w:tc>
          <w:tcPr>
            <w:tcW w:w="4531" w:type="dxa"/>
          </w:tcPr>
          <w:p w14:paraId="53F5C114"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www:</w:t>
            </w:r>
          </w:p>
        </w:tc>
        <w:tc>
          <w:tcPr>
            <w:tcW w:w="4531" w:type="dxa"/>
          </w:tcPr>
          <w:p w14:paraId="15FD0624"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www.rb.cz</w:t>
            </w:r>
          </w:p>
        </w:tc>
      </w:tr>
      <w:tr w:rsidR="00000323" w:rsidRPr="00865B3C" w14:paraId="3E3220B5" w14:textId="77777777" w:rsidTr="00865B3C">
        <w:tc>
          <w:tcPr>
            <w:tcW w:w="4531" w:type="dxa"/>
          </w:tcPr>
          <w:p w14:paraId="2F253BAD"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IČO:</w:t>
            </w:r>
          </w:p>
        </w:tc>
        <w:tc>
          <w:tcPr>
            <w:tcW w:w="4531" w:type="dxa"/>
          </w:tcPr>
          <w:p w14:paraId="426F2D85"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492 40 901</w:t>
            </w:r>
          </w:p>
        </w:tc>
      </w:tr>
      <w:tr w:rsidR="00000323" w:rsidRPr="00865B3C" w14:paraId="573D402A" w14:textId="77777777" w:rsidTr="00865B3C">
        <w:tc>
          <w:tcPr>
            <w:tcW w:w="4531" w:type="dxa"/>
          </w:tcPr>
          <w:p w14:paraId="241D8DFB"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DIČ:</w:t>
            </w:r>
          </w:p>
        </w:tc>
        <w:tc>
          <w:tcPr>
            <w:tcW w:w="4531" w:type="dxa"/>
          </w:tcPr>
          <w:p w14:paraId="1CDCA1F0"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CZ699003154</w:t>
            </w:r>
          </w:p>
        </w:tc>
      </w:tr>
    </w:tbl>
    <w:p w14:paraId="63D36C23" w14:textId="77777777" w:rsidR="00000323" w:rsidRPr="00865B3C" w:rsidRDefault="00000323" w:rsidP="00856149">
      <w:pPr>
        <w:spacing w:line="276" w:lineRule="auto"/>
        <w:jc w:val="both"/>
        <w:rPr>
          <w:rFonts w:cs="Times New Roman"/>
        </w:rPr>
      </w:pPr>
    </w:p>
    <w:p w14:paraId="40E87599" w14:textId="24936DB9" w:rsidR="00000323" w:rsidRPr="00865B3C" w:rsidRDefault="00000323" w:rsidP="00856149">
      <w:pPr>
        <w:pStyle w:val="Heading2"/>
        <w:spacing w:line="276" w:lineRule="auto"/>
        <w:jc w:val="both"/>
        <w:rPr>
          <w:rFonts w:cs="Times New Roman"/>
        </w:rPr>
      </w:pPr>
      <w:bookmarkStart w:id="3" w:name="_Toc46755354"/>
      <w:r w:rsidRPr="00865B3C">
        <w:rPr>
          <w:rFonts w:cs="Times New Roman"/>
        </w:rPr>
        <w:t>Popis investičního nástroje</w:t>
      </w:r>
      <w:r w:rsidR="00367915">
        <w:rPr>
          <w:rFonts w:cs="Times New Roman"/>
        </w:rPr>
        <w:t xml:space="preserve"> přijímaného k obchodování</w:t>
      </w:r>
      <w:bookmarkEnd w:id="3"/>
    </w:p>
    <w:p w14:paraId="30F4443A" w14:textId="77777777" w:rsidR="00000323" w:rsidRPr="00865B3C" w:rsidRDefault="00000323" w:rsidP="00856149">
      <w:pPr>
        <w:spacing w:line="276" w:lineRule="auto"/>
        <w:jc w:val="both"/>
        <w:rPr>
          <w:rFonts w:cs="Times New Roman"/>
        </w:rPr>
      </w:pPr>
    </w:p>
    <w:tbl>
      <w:tblPr>
        <w:tblStyle w:val="TableGrid"/>
        <w:tblW w:w="0" w:type="auto"/>
        <w:tblLook w:val="04A0" w:firstRow="1" w:lastRow="0" w:firstColumn="1" w:lastColumn="0" w:noHBand="0" w:noVBand="1"/>
      </w:tblPr>
      <w:tblGrid>
        <w:gridCol w:w="4531"/>
        <w:gridCol w:w="4531"/>
      </w:tblGrid>
      <w:tr w:rsidR="00000323" w:rsidRPr="00865B3C" w14:paraId="2BD97A5B" w14:textId="77777777" w:rsidTr="00865B3C">
        <w:tc>
          <w:tcPr>
            <w:tcW w:w="4531" w:type="dxa"/>
          </w:tcPr>
          <w:p w14:paraId="25EA3026"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Typ investičního nástroje:</w:t>
            </w:r>
          </w:p>
        </w:tc>
        <w:tc>
          <w:tcPr>
            <w:tcW w:w="4531" w:type="dxa"/>
          </w:tcPr>
          <w:p w14:paraId="2445FBCC" w14:textId="77777777" w:rsidR="00000323" w:rsidRPr="00865B3C" w:rsidRDefault="00A52403" w:rsidP="00856149">
            <w:pPr>
              <w:pStyle w:val="BodyText"/>
              <w:spacing w:line="276" w:lineRule="auto"/>
              <w:jc w:val="both"/>
              <w:rPr>
                <w:rFonts w:ascii="Times New Roman" w:hAnsi="Times New Roman" w:cs="Times New Roman"/>
              </w:rPr>
            </w:pPr>
            <w:r w:rsidRPr="00865B3C">
              <w:rPr>
                <w:rFonts w:ascii="Times New Roman" w:hAnsi="Times New Roman" w:cs="Times New Roman"/>
              </w:rPr>
              <w:t>Krytý dluhopis</w:t>
            </w:r>
          </w:p>
        </w:tc>
      </w:tr>
      <w:tr w:rsidR="00000323" w:rsidRPr="00865B3C" w14:paraId="3217D225" w14:textId="77777777" w:rsidTr="00865B3C">
        <w:tc>
          <w:tcPr>
            <w:tcW w:w="4531" w:type="dxa"/>
          </w:tcPr>
          <w:p w14:paraId="5137C635"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ISIN:</w:t>
            </w:r>
          </w:p>
        </w:tc>
        <w:tc>
          <w:tcPr>
            <w:tcW w:w="4531" w:type="dxa"/>
          </w:tcPr>
          <w:p w14:paraId="63BBAE3A" w14:textId="77777777" w:rsidR="00000323" w:rsidRPr="00865B3C" w:rsidRDefault="00BB02B7" w:rsidP="00856149">
            <w:pPr>
              <w:pStyle w:val="BodyText"/>
              <w:spacing w:line="276" w:lineRule="auto"/>
              <w:jc w:val="both"/>
              <w:rPr>
                <w:rFonts w:ascii="Times New Roman" w:hAnsi="Times New Roman" w:cs="Times New Roman"/>
              </w:rPr>
            </w:pPr>
            <w:r w:rsidRPr="00865B3C">
              <w:rPr>
                <w:rFonts w:ascii="Times New Roman" w:hAnsi="Times New Roman" w:cs="Times New Roman"/>
              </w:rPr>
              <w:t>CZ0002007057</w:t>
            </w:r>
          </w:p>
        </w:tc>
      </w:tr>
      <w:tr w:rsidR="00000323" w:rsidRPr="00865B3C" w14:paraId="41F516CA" w14:textId="77777777" w:rsidTr="00865B3C">
        <w:tc>
          <w:tcPr>
            <w:tcW w:w="4531" w:type="dxa"/>
          </w:tcPr>
          <w:p w14:paraId="56E59E92"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Forma:</w:t>
            </w:r>
          </w:p>
        </w:tc>
        <w:tc>
          <w:tcPr>
            <w:tcW w:w="4531" w:type="dxa"/>
          </w:tcPr>
          <w:p w14:paraId="42012BAB" w14:textId="29B6B0B2" w:rsidR="00000323" w:rsidRPr="00865B3C" w:rsidRDefault="0021513D" w:rsidP="00856149">
            <w:pPr>
              <w:pStyle w:val="BodyText"/>
              <w:spacing w:line="276" w:lineRule="auto"/>
              <w:jc w:val="both"/>
              <w:rPr>
                <w:rFonts w:ascii="Times New Roman" w:hAnsi="Times New Roman" w:cs="Times New Roman"/>
              </w:rPr>
            </w:pPr>
            <w:r w:rsidRPr="00AA77D8">
              <w:rPr>
                <w:rFonts w:ascii="Times New Roman" w:hAnsi="Times New Roman" w:cs="Times New Roman"/>
              </w:rPr>
              <w:t>Neuvedeno</w:t>
            </w:r>
            <w:r w:rsidR="00A52403" w:rsidRPr="00AA77D8">
              <w:rPr>
                <w:rFonts w:ascii="Times New Roman" w:hAnsi="Times New Roman" w:cs="Times New Roman"/>
              </w:rPr>
              <w:t xml:space="preserve"> </w:t>
            </w:r>
          </w:p>
        </w:tc>
      </w:tr>
      <w:tr w:rsidR="00000323" w:rsidRPr="00865B3C" w14:paraId="5693D286" w14:textId="77777777" w:rsidTr="00865B3C">
        <w:tc>
          <w:tcPr>
            <w:tcW w:w="4531" w:type="dxa"/>
          </w:tcPr>
          <w:p w14:paraId="72780AC9"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Cenný papír/zaknihovaný CP/Imob. CP</w:t>
            </w:r>
          </w:p>
        </w:tc>
        <w:tc>
          <w:tcPr>
            <w:tcW w:w="4531" w:type="dxa"/>
          </w:tcPr>
          <w:p w14:paraId="0242C532" w14:textId="0C79B87B" w:rsidR="00000323" w:rsidRPr="00865B3C" w:rsidRDefault="00A52403" w:rsidP="00856149">
            <w:pPr>
              <w:pStyle w:val="BodyText"/>
              <w:spacing w:line="276" w:lineRule="auto"/>
              <w:jc w:val="both"/>
              <w:rPr>
                <w:rFonts w:ascii="Times New Roman" w:hAnsi="Times New Roman" w:cs="Times New Roman"/>
              </w:rPr>
            </w:pPr>
            <w:r w:rsidRPr="00865B3C">
              <w:rPr>
                <w:rFonts w:ascii="Times New Roman" w:hAnsi="Times New Roman" w:cs="Times New Roman"/>
              </w:rPr>
              <w:t>Zaknihovaný</w:t>
            </w:r>
            <w:r w:rsidR="002C4B5E">
              <w:rPr>
                <w:rFonts w:ascii="Times New Roman" w:hAnsi="Times New Roman" w:cs="Times New Roman"/>
              </w:rPr>
              <w:t xml:space="preserve"> </w:t>
            </w:r>
          </w:p>
        </w:tc>
      </w:tr>
      <w:tr w:rsidR="00000323" w:rsidRPr="00865B3C" w14:paraId="52F10C16" w14:textId="77777777" w:rsidTr="00865B3C">
        <w:tc>
          <w:tcPr>
            <w:tcW w:w="4531" w:type="dxa"/>
          </w:tcPr>
          <w:p w14:paraId="000043D7"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Norminální hodnota investičního nástroje</w:t>
            </w:r>
          </w:p>
        </w:tc>
        <w:tc>
          <w:tcPr>
            <w:tcW w:w="4531" w:type="dxa"/>
          </w:tcPr>
          <w:p w14:paraId="25373B77" w14:textId="77777777" w:rsidR="00000323" w:rsidRPr="00865B3C" w:rsidRDefault="00A52403" w:rsidP="00856149">
            <w:pPr>
              <w:pStyle w:val="BodyText"/>
              <w:spacing w:line="276" w:lineRule="auto"/>
              <w:jc w:val="both"/>
              <w:rPr>
                <w:rFonts w:ascii="Times New Roman" w:hAnsi="Times New Roman" w:cs="Times New Roman"/>
              </w:rPr>
            </w:pPr>
            <w:r w:rsidRPr="00865B3C">
              <w:rPr>
                <w:rFonts w:ascii="Times New Roman" w:hAnsi="Times New Roman" w:cs="Times New Roman"/>
              </w:rPr>
              <w:t>10.000.000 Kč</w:t>
            </w:r>
          </w:p>
        </w:tc>
      </w:tr>
      <w:tr w:rsidR="00000323" w:rsidRPr="00865B3C" w14:paraId="2047CD2C" w14:textId="77777777" w:rsidTr="00865B3C">
        <w:tc>
          <w:tcPr>
            <w:tcW w:w="4531" w:type="dxa"/>
          </w:tcPr>
          <w:p w14:paraId="0469970A" w14:textId="77777777" w:rsidR="00000323" w:rsidRPr="00865B3C" w:rsidRDefault="00000323" w:rsidP="00856149">
            <w:pPr>
              <w:pStyle w:val="BodyText"/>
              <w:spacing w:line="276" w:lineRule="auto"/>
              <w:jc w:val="both"/>
              <w:rPr>
                <w:rFonts w:ascii="Times New Roman" w:hAnsi="Times New Roman" w:cs="Times New Roman"/>
              </w:rPr>
            </w:pPr>
            <w:r w:rsidRPr="00865B3C">
              <w:rPr>
                <w:rFonts w:ascii="Times New Roman" w:hAnsi="Times New Roman" w:cs="Times New Roman"/>
              </w:rPr>
              <w:t>Nominální hodnota emise</w:t>
            </w:r>
          </w:p>
        </w:tc>
        <w:tc>
          <w:tcPr>
            <w:tcW w:w="4531" w:type="dxa"/>
          </w:tcPr>
          <w:p w14:paraId="61D41573" w14:textId="77777777" w:rsidR="00000323" w:rsidRPr="00865B3C" w:rsidRDefault="00A52403" w:rsidP="00856149">
            <w:pPr>
              <w:pStyle w:val="BodyText"/>
              <w:spacing w:line="276" w:lineRule="auto"/>
              <w:jc w:val="both"/>
              <w:rPr>
                <w:rFonts w:ascii="Times New Roman" w:hAnsi="Times New Roman" w:cs="Times New Roman"/>
              </w:rPr>
            </w:pPr>
            <w:r w:rsidRPr="00865B3C">
              <w:rPr>
                <w:rFonts w:ascii="Times New Roman" w:hAnsi="Times New Roman" w:cs="Times New Roman"/>
              </w:rPr>
              <w:t>1.000.000.000 Kč</w:t>
            </w:r>
          </w:p>
        </w:tc>
      </w:tr>
    </w:tbl>
    <w:p w14:paraId="7D96D624" w14:textId="77777777" w:rsidR="00000323" w:rsidRPr="00865B3C" w:rsidRDefault="00000323" w:rsidP="00856149">
      <w:pPr>
        <w:spacing w:line="276" w:lineRule="auto"/>
        <w:jc w:val="both"/>
        <w:rPr>
          <w:rFonts w:cs="Times New Roman"/>
        </w:rPr>
      </w:pPr>
    </w:p>
    <w:p w14:paraId="1EA21605" w14:textId="79376570" w:rsidR="006717BF" w:rsidRPr="00865B3C" w:rsidRDefault="007D20FB" w:rsidP="00856149">
      <w:pPr>
        <w:pStyle w:val="Heading1"/>
        <w:spacing w:line="276" w:lineRule="auto"/>
        <w:jc w:val="both"/>
        <w:rPr>
          <w:rFonts w:cs="Times New Roman"/>
        </w:rPr>
      </w:pPr>
      <w:bookmarkStart w:id="4" w:name="_Toc46755355"/>
      <w:r>
        <w:rPr>
          <w:rFonts w:cs="Times New Roman"/>
        </w:rPr>
        <w:t>Úpis investičních nástrojů</w:t>
      </w:r>
      <w:bookmarkEnd w:id="4"/>
    </w:p>
    <w:p w14:paraId="4B3389DE" w14:textId="77777777" w:rsidR="005568D1" w:rsidRPr="00865B3C" w:rsidRDefault="005568D1" w:rsidP="00856149">
      <w:pPr>
        <w:spacing w:line="276" w:lineRule="auto"/>
        <w:jc w:val="both"/>
        <w:rPr>
          <w:rFonts w:cs="Times New Roman"/>
        </w:rPr>
      </w:pPr>
    </w:p>
    <w:tbl>
      <w:tblPr>
        <w:tblStyle w:val="TableGrid"/>
        <w:tblW w:w="0" w:type="auto"/>
        <w:tblLook w:val="04A0" w:firstRow="1" w:lastRow="0" w:firstColumn="1" w:lastColumn="0" w:noHBand="0" w:noVBand="1"/>
      </w:tblPr>
      <w:tblGrid>
        <w:gridCol w:w="4531"/>
        <w:gridCol w:w="4531"/>
      </w:tblGrid>
      <w:tr w:rsidR="005568D1" w:rsidRPr="00865B3C" w14:paraId="1D48CC93" w14:textId="77777777" w:rsidTr="00865B3C">
        <w:tc>
          <w:tcPr>
            <w:tcW w:w="4531" w:type="dxa"/>
          </w:tcPr>
          <w:p w14:paraId="133CF181" w14:textId="77777777" w:rsidR="005568D1" w:rsidRPr="00865B3C" w:rsidRDefault="005568D1" w:rsidP="00856149">
            <w:pPr>
              <w:pStyle w:val="BodyText"/>
              <w:spacing w:line="276" w:lineRule="auto"/>
              <w:jc w:val="both"/>
              <w:rPr>
                <w:rFonts w:ascii="Times New Roman" w:hAnsi="Times New Roman" w:cs="Times New Roman"/>
              </w:rPr>
            </w:pPr>
            <w:r w:rsidRPr="00865B3C">
              <w:rPr>
                <w:rFonts w:ascii="Times New Roman" w:hAnsi="Times New Roman" w:cs="Times New Roman"/>
              </w:rPr>
              <w:t>Datum rozhodnutí o vydání emise</w:t>
            </w:r>
          </w:p>
        </w:tc>
        <w:tc>
          <w:tcPr>
            <w:tcW w:w="4531" w:type="dxa"/>
          </w:tcPr>
          <w:p w14:paraId="24098BE6" w14:textId="7B158E50" w:rsidR="005568D1" w:rsidRPr="00865B3C" w:rsidRDefault="00AE2EBF" w:rsidP="00856149">
            <w:pPr>
              <w:pStyle w:val="BodyText"/>
              <w:spacing w:line="276" w:lineRule="auto"/>
              <w:jc w:val="both"/>
              <w:rPr>
                <w:rFonts w:ascii="Times New Roman" w:hAnsi="Times New Roman" w:cs="Times New Roman"/>
              </w:rPr>
            </w:pPr>
            <w:r w:rsidRPr="00865B3C">
              <w:rPr>
                <w:rFonts w:ascii="Times New Roman" w:hAnsi="Times New Roman" w:cs="Times New Roman"/>
                <w:color w:val="000000" w:themeColor="text1"/>
              </w:rPr>
              <w:t>14.4.2020</w:t>
            </w:r>
          </w:p>
        </w:tc>
      </w:tr>
      <w:tr w:rsidR="005568D1" w:rsidRPr="00865B3C" w14:paraId="22733B3C" w14:textId="77777777" w:rsidTr="00865B3C">
        <w:tc>
          <w:tcPr>
            <w:tcW w:w="4531" w:type="dxa"/>
          </w:tcPr>
          <w:p w14:paraId="0CDCEAF6" w14:textId="77777777" w:rsidR="005568D1" w:rsidRPr="00865B3C" w:rsidRDefault="005568D1" w:rsidP="00856149">
            <w:pPr>
              <w:pStyle w:val="BodyText"/>
              <w:spacing w:line="276" w:lineRule="auto"/>
              <w:jc w:val="both"/>
              <w:rPr>
                <w:rFonts w:ascii="Times New Roman" w:hAnsi="Times New Roman" w:cs="Times New Roman"/>
              </w:rPr>
            </w:pPr>
            <w:r w:rsidRPr="00865B3C">
              <w:rPr>
                <w:rFonts w:ascii="Times New Roman" w:hAnsi="Times New Roman" w:cs="Times New Roman"/>
              </w:rPr>
              <w:t>Datum potvrzení o přidělení ISIN</w:t>
            </w:r>
          </w:p>
        </w:tc>
        <w:tc>
          <w:tcPr>
            <w:tcW w:w="4531" w:type="dxa"/>
          </w:tcPr>
          <w:p w14:paraId="122EA4C1" w14:textId="77777777" w:rsidR="005568D1" w:rsidRPr="00865B3C" w:rsidRDefault="00BB02B7" w:rsidP="00856149">
            <w:pPr>
              <w:pStyle w:val="BodyText"/>
              <w:spacing w:line="276" w:lineRule="auto"/>
              <w:jc w:val="both"/>
              <w:rPr>
                <w:rFonts w:ascii="Times New Roman" w:hAnsi="Times New Roman" w:cs="Times New Roman"/>
              </w:rPr>
            </w:pPr>
            <w:r w:rsidRPr="00865B3C">
              <w:rPr>
                <w:rFonts w:ascii="Times New Roman" w:hAnsi="Times New Roman" w:cs="Times New Roman"/>
              </w:rPr>
              <w:t>19.6.2020</w:t>
            </w:r>
          </w:p>
        </w:tc>
      </w:tr>
      <w:tr w:rsidR="005568D1" w:rsidRPr="00865B3C" w14:paraId="6C982A3B" w14:textId="77777777" w:rsidTr="00865B3C">
        <w:tc>
          <w:tcPr>
            <w:tcW w:w="4531" w:type="dxa"/>
          </w:tcPr>
          <w:p w14:paraId="39B42C56" w14:textId="77777777" w:rsidR="005568D1" w:rsidRPr="00865B3C" w:rsidRDefault="005568D1" w:rsidP="00856149">
            <w:pPr>
              <w:pStyle w:val="BodyText"/>
              <w:spacing w:line="276" w:lineRule="auto"/>
              <w:jc w:val="both"/>
              <w:rPr>
                <w:rFonts w:ascii="Times New Roman" w:hAnsi="Times New Roman" w:cs="Times New Roman"/>
              </w:rPr>
            </w:pPr>
            <w:r w:rsidRPr="00865B3C">
              <w:rPr>
                <w:rFonts w:ascii="Times New Roman" w:hAnsi="Times New Roman" w:cs="Times New Roman"/>
              </w:rPr>
              <w:t>Způsob úpisu</w:t>
            </w:r>
          </w:p>
        </w:tc>
        <w:tc>
          <w:tcPr>
            <w:tcW w:w="4531" w:type="dxa"/>
          </w:tcPr>
          <w:p w14:paraId="5015BA48" w14:textId="04964D9C" w:rsidR="005568D1" w:rsidRPr="00856149" w:rsidRDefault="002C4B5E" w:rsidP="00856149">
            <w:pPr>
              <w:pStyle w:val="BodyText"/>
              <w:spacing w:line="276" w:lineRule="auto"/>
              <w:jc w:val="both"/>
              <w:rPr>
                <w:rFonts w:ascii="Times New Roman" w:hAnsi="Times New Roman" w:cs="Times New Roman"/>
              </w:rPr>
            </w:pPr>
            <w:r>
              <w:rPr>
                <w:rFonts w:ascii="Times New Roman" w:hAnsi="Times New Roman" w:cs="Times New Roman"/>
              </w:rPr>
              <w:t xml:space="preserve">DFP   </w:t>
            </w:r>
          </w:p>
        </w:tc>
      </w:tr>
      <w:tr w:rsidR="005568D1" w:rsidRPr="00865B3C" w14:paraId="4EB8319E" w14:textId="77777777" w:rsidTr="00865B3C">
        <w:tc>
          <w:tcPr>
            <w:tcW w:w="4531" w:type="dxa"/>
          </w:tcPr>
          <w:p w14:paraId="2498FD9D" w14:textId="77777777" w:rsidR="005568D1" w:rsidRPr="00865B3C" w:rsidRDefault="005568D1" w:rsidP="00856149">
            <w:pPr>
              <w:pStyle w:val="BodyText"/>
              <w:spacing w:line="276" w:lineRule="auto"/>
              <w:jc w:val="both"/>
              <w:rPr>
                <w:rFonts w:ascii="Times New Roman" w:hAnsi="Times New Roman" w:cs="Times New Roman"/>
              </w:rPr>
            </w:pPr>
            <w:r w:rsidRPr="00865B3C">
              <w:rPr>
                <w:rFonts w:ascii="Times New Roman" w:hAnsi="Times New Roman" w:cs="Times New Roman"/>
              </w:rPr>
              <w:t>Počátek upisovacího období</w:t>
            </w:r>
          </w:p>
        </w:tc>
        <w:tc>
          <w:tcPr>
            <w:tcW w:w="4531" w:type="dxa"/>
          </w:tcPr>
          <w:p w14:paraId="1C464455" w14:textId="06380DA0" w:rsidR="005568D1" w:rsidRPr="00865B3C" w:rsidRDefault="00AE2EBF" w:rsidP="00856149">
            <w:pPr>
              <w:pStyle w:val="BodyText"/>
              <w:spacing w:line="276" w:lineRule="auto"/>
              <w:jc w:val="both"/>
              <w:rPr>
                <w:rFonts w:ascii="Times New Roman" w:hAnsi="Times New Roman" w:cs="Times New Roman"/>
              </w:rPr>
            </w:pPr>
            <w:r w:rsidRPr="00865B3C">
              <w:rPr>
                <w:rFonts w:ascii="Times New Roman" w:hAnsi="Times New Roman" w:cs="Times New Roman"/>
              </w:rPr>
              <w:t>16.7.2020</w:t>
            </w:r>
          </w:p>
        </w:tc>
      </w:tr>
      <w:tr w:rsidR="005568D1" w:rsidRPr="00865B3C" w14:paraId="3EF17D44" w14:textId="77777777" w:rsidTr="00865B3C">
        <w:tc>
          <w:tcPr>
            <w:tcW w:w="4531" w:type="dxa"/>
          </w:tcPr>
          <w:p w14:paraId="0B5451D8" w14:textId="77777777" w:rsidR="005568D1" w:rsidRPr="00865B3C" w:rsidRDefault="005568D1" w:rsidP="00856149">
            <w:pPr>
              <w:pStyle w:val="BodyText"/>
              <w:spacing w:line="276" w:lineRule="auto"/>
              <w:jc w:val="both"/>
              <w:rPr>
                <w:rFonts w:ascii="Times New Roman" w:hAnsi="Times New Roman" w:cs="Times New Roman"/>
              </w:rPr>
            </w:pPr>
            <w:r w:rsidRPr="00865B3C">
              <w:rPr>
                <w:rFonts w:ascii="Times New Roman" w:hAnsi="Times New Roman" w:cs="Times New Roman"/>
              </w:rPr>
              <w:t>Konec upisovacího období</w:t>
            </w:r>
          </w:p>
        </w:tc>
        <w:tc>
          <w:tcPr>
            <w:tcW w:w="4531" w:type="dxa"/>
          </w:tcPr>
          <w:p w14:paraId="3CD47DF9" w14:textId="2274AB50" w:rsidR="005568D1" w:rsidRPr="00865B3C" w:rsidRDefault="00AE2EBF" w:rsidP="00856149">
            <w:pPr>
              <w:pStyle w:val="BodyText"/>
              <w:spacing w:line="276" w:lineRule="auto"/>
              <w:jc w:val="both"/>
              <w:rPr>
                <w:rFonts w:ascii="Times New Roman" w:hAnsi="Times New Roman" w:cs="Times New Roman"/>
              </w:rPr>
            </w:pPr>
            <w:r w:rsidRPr="00865B3C">
              <w:rPr>
                <w:rFonts w:ascii="Times New Roman" w:hAnsi="Times New Roman" w:cs="Times New Roman"/>
              </w:rPr>
              <w:t>15.7.2030</w:t>
            </w:r>
          </w:p>
        </w:tc>
      </w:tr>
    </w:tbl>
    <w:p w14:paraId="4899CD43" w14:textId="77777777" w:rsidR="00BD4682" w:rsidRPr="00865B3C" w:rsidRDefault="00BD4682" w:rsidP="00856149">
      <w:pPr>
        <w:spacing w:line="276" w:lineRule="auto"/>
        <w:jc w:val="both"/>
        <w:rPr>
          <w:rFonts w:cs="Times New Roman"/>
        </w:rPr>
      </w:pPr>
    </w:p>
    <w:p w14:paraId="4F644BF2" w14:textId="7E0F0CDF" w:rsidR="00EE468E" w:rsidRPr="00865B3C" w:rsidRDefault="000C6D57"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lastRenderedPageBreak/>
        <w:t>Raiffeisenbank a.s.</w:t>
      </w:r>
      <w:r w:rsidR="00EE468E" w:rsidRPr="00865B3C">
        <w:rPr>
          <w:rFonts w:cs="Times New Roman"/>
          <w:color w:val="000000" w:themeColor="text1"/>
        </w:rPr>
        <w:t xml:space="preserve"> (dále „Emitent“)</w:t>
      </w:r>
      <w:r w:rsidRPr="00865B3C">
        <w:rPr>
          <w:rFonts w:cs="Times New Roman"/>
          <w:color w:val="000000" w:themeColor="text1"/>
        </w:rPr>
        <w:t xml:space="preserve"> </w:t>
      </w:r>
      <w:r w:rsidR="00BD4682" w:rsidRPr="00865B3C">
        <w:rPr>
          <w:rFonts w:cs="Times New Roman"/>
          <w:color w:val="000000" w:themeColor="text1"/>
        </w:rPr>
        <w:t>vyd</w:t>
      </w:r>
      <w:r w:rsidR="005424AB">
        <w:rPr>
          <w:rFonts w:cs="Times New Roman"/>
          <w:color w:val="000000" w:themeColor="text1"/>
        </w:rPr>
        <w:t>ala</w:t>
      </w:r>
      <w:r w:rsidR="00BD4682" w:rsidRPr="00865B3C">
        <w:rPr>
          <w:rFonts w:cs="Times New Roman"/>
          <w:color w:val="000000" w:themeColor="text1"/>
        </w:rPr>
        <w:t xml:space="preserve"> k datu emise </w:t>
      </w:r>
      <w:r w:rsidR="00AE2EBF" w:rsidRPr="00865B3C">
        <w:rPr>
          <w:rFonts w:cs="Times New Roman"/>
          <w:color w:val="000000" w:themeColor="text1"/>
        </w:rPr>
        <w:t>15.7.2020</w:t>
      </w:r>
      <w:r w:rsidR="00EE468E" w:rsidRPr="00865B3C">
        <w:rPr>
          <w:rFonts w:cs="Times New Roman"/>
          <w:color w:val="000000" w:themeColor="text1"/>
        </w:rPr>
        <w:t xml:space="preserve"> (dále „Datum emise“) </w:t>
      </w:r>
      <w:r w:rsidR="00BD4682" w:rsidRPr="00865B3C">
        <w:rPr>
          <w:rFonts w:cs="Times New Roman"/>
          <w:color w:val="000000" w:themeColor="text1"/>
        </w:rPr>
        <w:t xml:space="preserve">kryté dluhopisy </w:t>
      </w:r>
      <w:r w:rsidR="003D513C" w:rsidRPr="00865B3C">
        <w:rPr>
          <w:rFonts w:cs="Times New Roman"/>
          <w:color w:val="000000" w:themeColor="text1"/>
        </w:rPr>
        <w:t>jako zaknihované cenné papíry</w:t>
      </w:r>
      <w:r w:rsidR="00BD4682" w:rsidRPr="00865B3C">
        <w:rPr>
          <w:rFonts w:cs="Times New Roman"/>
          <w:color w:val="000000" w:themeColor="text1"/>
        </w:rPr>
        <w:t xml:space="preserve"> </w:t>
      </w:r>
      <w:r w:rsidR="00EE468E" w:rsidRPr="00865B3C">
        <w:rPr>
          <w:rFonts w:cs="Times New Roman"/>
          <w:color w:val="000000" w:themeColor="text1"/>
        </w:rPr>
        <w:t>o nominální hodnotě krytého dluhopisu ve výši 10.000.000 Kč (dále „Kryté dluhopisy“) a celkové hodnotě emise ve výši 1.000.000.000 Kč (dále „Emise“).</w:t>
      </w:r>
    </w:p>
    <w:p w14:paraId="55C25D20" w14:textId="19E983AE" w:rsidR="00EE468E" w:rsidRPr="00865B3C" w:rsidRDefault="00EE468E"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Kryté dluhopisy budou k Datu emise a po Datu emise nabízeny pouze maximálně 149 fyzickým a právnickým osobám </w:t>
      </w:r>
      <w:r w:rsidR="005C291B" w:rsidRPr="00865B3C">
        <w:rPr>
          <w:rFonts w:cs="Times New Roman"/>
          <w:color w:val="000000" w:themeColor="text1"/>
        </w:rPr>
        <w:t>(dohromady) v jednom členském státě Evropské unie</w:t>
      </w:r>
      <w:r w:rsidR="007726EF" w:rsidRPr="00865B3C">
        <w:rPr>
          <w:rFonts w:cs="Times New Roman"/>
          <w:color w:val="000000" w:themeColor="text1"/>
        </w:rPr>
        <w:t>, tj. České republice</w:t>
      </w:r>
      <w:r w:rsidR="005C291B" w:rsidRPr="00865B3C">
        <w:rPr>
          <w:rFonts w:cs="Times New Roman"/>
          <w:color w:val="000000" w:themeColor="text1"/>
        </w:rPr>
        <w:t xml:space="preserve">, které nejsou kvalifikovanými investory ve smyslu článku 2 písm. e) </w:t>
      </w:r>
      <w:r w:rsidR="005424AB" w:rsidRPr="005424AB">
        <w:rPr>
          <w:rFonts w:cs="Times New Roman"/>
          <w:color w:val="000000" w:themeColor="text1"/>
        </w:rPr>
        <w:t xml:space="preserve">Nařízení Evropského parlamentu a Rady (EU) 2017/1129 ze dne 14. června 2017 o prospektu, který má být uveřejněn při veřejné nabídce nebo přijetí cenných papírů k obchodování na regulovaném trhu, </w:t>
      </w:r>
      <w:r w:rsidR="005303A3">
        <w:rPr>
          <w:rFonts w:cs="Times New Roman"/>
          <w:color w:val="000000" w:themeColor="text1"/>
        </w:rPr>
        <w:t>a o zrušení směrnice 2003/71/ES, případně kvalifikovaným investorům ve smyslu uvedeného nařízení.</w:t>
      </w:r>
    </w:p>
    <w:p w14:paraId="1C7B8924" w14:textId="4C69CBBF" w:rsidR="00DB578E" w:rsidRPr="001F75D2" w:rsidRDefault="00F96AF6" w:rsidP="00856149">
      <w:pPr>
        <w:tabs>
          <w:tab w:val="left" w:pos="824"/>
          <w:tab w:val="left" w:pos="825"/>
        </w:tabs>
        <w:spacing w:before="1" w:line="276" w:lineRule="auto"/>
        <w:jc w:val="both"/>
        <w:rPr>
          <w:rFonts w:cs="Times New Roman"/>
        </w:rPr>
      </w:pPr>
      <w:r w:rsidRPr="00865B3C">
        <w:rPr>
          <w:rFonts w:cs="Times New Roman"/>
          <w:color w:val="000000" w:themeColor="text1"/>
        </w:rPr>
        <w:t>Emitent up</w:t>
      </w:r>
      <w:r w:rsidR="009F220D">
        <w:rPr>
          <w:rFonts w:cs="Times New Roman"/>
          <w:color w:val="000000" w:themeColor="text1"/>
        </w:rPr>
        <w:t>sal</w:t>
      </w:r>
      <w:r w:rsidRPr="00865B3C">
        <w:rPr>
          <w:rFonts w:cs="Times New Roman"/>
          <w:color w:val="000000" w:themeColor="text1"/>
        </w:rPr>
        <w:t xml:space="preserve"> Kryté dluhopisy na svůj majetkový účet vlastníka vedený v Centrálním depozitáři a následně bude Kryté dluhopisy sám prodávat investorům na základě příslušné dokumentace použité k </w:t>
      </w:r>
      <w:r w:rsidRPr="00865B3C">
        <w:rPr>
          <w:rFonts w:cs="Times New Roman"/>
        </w:rPr>
        <w:t>prodeji a převodu takto upsaných Krytých dluhopisů.</w:t>
      </w:r>
      <w:r w:rsidR="001F75D2" w:rsidRPr="001F75D2">
        <w:rPr>
          <w:rFonts w:cs="Times New Roman"/>
        </w:rPr>
        <w:t xml:space="preserve"> </w:t>
      </w:r>
      <w:r w:rsidR="001F75D2">
        <w:rPr>
          <w:rFonts w:cs="Times New Roman"/>
        </w:rPr>
        <w:t xml:space="preserve"> Záměrem Emitenta je nabízet Kryté dluhopisy zejména České národní bance v rámci repo operací. </w:t>
      </w:r>
    </w:p>
    <w:p w14:paraId="4A48EEDD" w14:textId="5D2CE189" w:rsidR="00DB578E" w:rsidRDefault="00DB578E" w:rsidP="00856149">
      <w:pPr>
        <w:pStyle w:val="ListParagraph"/>
        <w:tabs>
          <w:tab w:val="left" w:pos="825"/>
          <w:tab w:val="left" w:pos="826"/>
        </w:tabs>
        <w:spacing w:line="276" w:lineRule="auto"/>
        <w:ind w:left="0"/>
        <w:contextualSpacing w:val="0"/>
        <w:jc w:val="both"/>
        <w:rPr>
          <w:rFonts w:cs="Times New Roman"/>
        </w:rPr>
      </w:pPr>
      <w:r w:rsidRPr="00865B3C">
        <w:rPr>
          <w:rFonts w:cs="Times New Roman"/>
        </w:rPr>
        <w:t>Úpis krytých dluhopisů podléhá zákonu č. 190/2004 Sb., o dluhopisech, v platném znění.</w:t>
      </w:r>
    </w:p>
    <w:p w14:paraId="1DD52415" w14:textId="77777777" w:rsidR="005B43B1" w:rsidRPr="00865B3C" w:rsidRDefault="005B43B1" w:rsidP="00856149">
      <w:pPr>
        <w:pStyle w:val="ListParagraph"/>
        <w:tabs>
          <w:tab w:val="left" w:pos="825"/>
          <w:tab w:val="left" w:pos="826"/>
        </w:tabs>
        <w:spacing w:line="276" w:lineRule="auto"/>
        <w:ind w:left="0"/>
        <w:contextualSpacing w:val="0"/>
        <w:jc w:val="both"/>
        <w:rPr>
          <w:rFonts w:cs="Times New Roman"/>
        </w:rPr>
      </w:pPr>
    </w:p>
    <w:p w14:paraId="6B006462" w14:textId="77777777" w:rsidR="00BA1CC2" w:rsidRPr="00865B3C" w:rsidRDefault="00BA1CC2" w:rsidP="00856149">
      <w:pPr>
        <w:pStyle w:val="Heading1"/>
        <w:spacing w:line="276" w:lineRule="auto"/>
        <w:jc w:val="both"/>
        <w:rPr>
          <w:rFonts w:cs="Times New Roman"/>
        </w:rPr>
      </w:pPr>
      <w:bookmarkStart w:id="5" w:name="_Toc46755356"/>
      <w:r w:rsidRPr="00865B3C">
        <w:rPr>
          <w:rFonts w:cs="Times New Roman"/>
        </w:rPr>
        <w:t>Osoby zodpovědné za přípravu informačního dokumentu</w:t>
      </w:r>
      <w:bookmarkEnd w:id="5"/>
    </w:p>
    <w:p w14:paraId="0917E41D" w14:textId="77777777" w:rsidR="00BA1CC2" w:rsidRPr="00865B3C" w:rsidRDefault="00BA1CC2" w:rsidP="00856149">
      <w:pPr>
        <w:spacing w:line="276" w:lineRule="auto"/>
        <w:jc w:val="both"/>
        <w:rPr>
          <w:rFonts w:cs="Times New Roman"/>
        </w:rPr>
      </w:pPr>
    </w:p>
    <w:p w14:paraId="7496DE36" w14:textId="71B3CDDF" w:rsidR="00BA1CC2" w:rsidRDefault="00BA1CC2" w:rsidP="00856149">
      <w:pPr>
        <w:pStyle w:val="Heading2"/>
        <w:spacing w:line="276" w:lineRule="auto"/>
        <w:jc w:val="both"/>
        <w:rPr>
          <w:rFonts w:cs="Times New Roman"/>
        </w:rPr>
      </w:pPr>
      <w:bookmarkStart w:id="6" w:name="_Toc46755357"/>
      <w:r w:rsidRPr="00865B3C">
        <w:rPr>
          <w:rFonts w:cs="Times New Roman"/>
        </w:rPr>
        <w:t>Prohlášení emitenta</w:t>
      </w:r>
      <w:bookmarkEnd w:id="6"/>
    </w:p>
    <w:p w14:paraId="19EDDB26" w14:textId="77777777" w:rsidR="00A94F64" w:rsidRPr="00A94F64" w:rsidRDefault="00A94F64" w:rsidP="00A94F64"/>
    <w:p w14:paraId="233B8891" w14:textId="77777777" w:rsidR="004C2353" w:rsidRDefault="004C2353" w:rsidP="00856149">
      <w:pPr>
        <w:spacing w:line="276" w:lineRule="auto"/>
        <w:jc w:val="both"/>
        <w:rPr>
          <w:rFonts w:cs="Times New Roman"/>
        </w:rPr>
      </w:pPr>
      <w:r>
        <w:rPr>
          <w:rFonts w:cs="Times New Roman"/>
        </w:rPr>
        <w:t>Prohlášení emitenta je součástí přílohy číslo 1.</w:t>
      </w:r>
    </w:p>
    <w:p w14:paraId="5AD7A7DD" w14:textId="6242441A" w:rsidR="00BA1CC2" w:rsidRPr="00865B3C" w:rsidRDefault="00BA1CC2" w:rsidP="00856149">
      <w:pPr>
        <w:spacing w:line="276" w:lineRule="auto"/>
        <w:jc w:val="both"/>
        <w:rPr>
          <w:rFonts w:cs="Times New Roman"/>
        </w:rPr>
      </w:pPr>
      <w:r w:rsidRPr="009E1FE2">
        <w:rPr>
          <w:rFonts w:cs="Times New Roman"/>
          <w:color w:val="C00000"/>
        </w:rPr>
        <w:t xml:space="preserve"> </w:t>
      </w:r>
    </w:p>
    <w:p w14:paraId="1E4FB901" w14:textId="77777777" w:rsidR="00BA1CC2" w:rsidRPr="00865B3C" w:rsidRDefault="00BA1CC2" w:rsidP="00856149">
      <w:pPr>
        <w:pStyle w:val="Heading2"/>
        <w:spacing w:line="276" w:lineRule="auto"/>
        <w:jc w:val="both"/>
        <w:rPr>
          <w:rFonts w:cs="Times New Roman"/>
        </w:rPr>
      </w:pPr>
      <w:bookmarkStart w:id="7" w:name="_Toc46755358"/>
      <w:r w:rsidRPr="00865B3C">
        <w:rPr>
          <w:rFonts w:cs="Times New Roman"/>
        </w:rPr>
        <w:t>Prohlášení žádajícího člena burzy</w:t>
      </w:r>
      <w:bookmarkEnd w:id="7"/>
    </w:p>
    <w:p w14:paraId="0F4EB918" w14:textId="77777777" w:rsidR="004C2353" w:rsidRDefault="004C2353" w:rsidP="004C2353">
      <w:pPr>
        <w:spacing w:line="276" w:lineRule="auto"/>
        <w:jc w:val="both"/>
        <w:rPr>
          <w:rFonts w:cs="Times New Roman"/>
        </w:rPr>
      </w:pPr>
    </w:p>
    <w:p w14:paraId="2A336F24" w14:textId="3A2F87C0" w:rsidR="004C2353" w:rsidRDefault="004C2353" w:rsidP="004C2353">
      <w:pPr>
        <w:spacing w:line="276" w:lineRule="auto"/>
        <w:jc w:val="both"/>
        <w:rPr>
          <w:rFonts w:cs="Times New Roman"/>
        </w:rPr>
      </w:pPr>
      <w:r>
        <w:rPr>
          <w:rFonts w:cs="Times New Roman"/>
        </w:rPr>
        <w:t>Prohlášení žádajícího člena burzy je součástí přílohy číslo 2.</w:t>
      </w:r>
    </w:p>
    <w:p w14:paraId="4C77ABB6" w14:textId="77777777" w:rsidR="004C2353" w:rsidRDefault="004C2353" w:rsidP="004C2353">
      <w:pPr>
        <w:spacing w:line="276" w:lineRule="auto"/>
        <w:jc w:val="both"/>
        <w:rPr>
          <w:rFonts w:cs="Times New Roman"/>
        </w:rPr>
      </w:pPr>
    </w:p>
    <w:p w14:paraId="0AFB0913" w14:textId="26035297" w:rsidR="00BA1CC2" w:rsidRDefault="00BA1CC2" w:rsidP="00856149">
      <w:pPr>
        <w:pStyle w:val="Heading1"/>
        <w:spacing w:line="276" w:lineRule="auto"/>
        <w:jc w:val="both"/>
        <w:rPr>
          <w:rFonts w:cs="Times New Roman"/>
        </w:rPr>
      </w:pPr>
      <w:bookmarkStart w:id="8" w:name="_Toc46755359"/>
      <w:r w:rsidRPr="00865B3C">
        <w:rPr>
          <w:rFonts w:cs="Times New Roman"/>
        </w:rPr>
        <w:t>Rizikové faktory</w:t>
      </w:r>
      <w:bookmarkEnd w:id="8"/>
    </w:p>
    <w:p w14:paraId="68842CCA" w14:textId="77777777" w:rsidR="004C2353" w:rsidRPr="004C2353" w:rsidRDefault="004C2353" w:rsidP="004C2353"/>
    <w:p w14:paraId="5B97E682" w14:textId="43232FC3" w:rsidR="00BA1CC2" w:rsidRPr="00865B3C" w:rsidRDefault="00BA1CC2" w:rsidP="00856149">
      <w:pPr>
        <w:pStyle w:val="Heading2"/>
        <w:spacing w:line="276" w:lineRule="auto"/>
        <w:jc w:val="both"/>
        <w:rPr>
          <w:rFonts w:cs="Times New Roman"/>
        </w:rPr>
      </w:pPr>
      <w:bookmarkStart w:id="9" w:name="_Toc46755360"/>
      <w:r w:rsidRPr="00865B3C">
        <w:rPr>
          <w:rFonts w:cs="Times New Roman"/>
        </w:rPr>
        <w:t>Rizikové faktory spojené s předmětem podnikání Emitenta</w:t>
      </w:r>
      <w:bookmarkEnd w:id="9"/>
    </w:p>
    <w:p w14:paraId="37EC3437" w14:textId="7B9BFCCA" w:rsidR="0095155C" w:rsidRPr="00865B3C" w:rsidRDefault="0095155C" w:rsidP="00856149">
      <w:pPr>
        <w:tabs>
          <w:tab w:val="left" w:pos="824"/>
          <w:tab w:val="left" w:pos="825"/>
        </w:tabs>
        <w:spacing w:before="1" w:line="276" w:lineRule="auto"/>
        <w:jc w:val="both"/>
        <w:rPr>
          <w:rFonts w:cs="Times New Roman"/>
          <w:color w:val="000000" w:themeColor="text1"/>
        </w:rPr>
      </w:pPr>
    </w:p>
    <w:p w14:paraId="2DEE2936" w14:textId="684394DF" w:rsidR="0095155C" w:rsidRPr="00B30905" w:rsidRDefault="0095155C" w:rsidP="00856149">
      <w:pPr>
        <w:tabs>
          <w:tab w:val="left" w:pos="824"/>
          <w:tab w:val="left" w:pos="825"/>
        </w:tabs>
        <w:spacing w:before="1" w:line="276" w:lineRule="auto"/>
        <w:jc w:val="both"/>
        <w:rPr>
          <w:rFonts w:cs="Times New Roman"/>
          <w:b/>
          <w:color w:val="000000" w:themeColor="text1"/>
        </w:rPr>
      </w:pPr>
      <w:r w:rsidRPr="00B30905">
        <w:rPr>
          <w:rFonts w:cs="Times New Roman"/>
          <w:b/>
          <w:color w:val="000000" w:themeColor="text1"/>
        </w:rPr>
        <w:t>Riziko likvidity</w:t>
      </w:r>
    </w:p>
    <w:p w14:paraId="04EC0469" w14:textId="38DEF181"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Riziko likvidity vzniká z rizika časového nesouladu mezi hotovostními přítoky a odtoky. Zahrnuje jak riziko schopnosti financovat aktiva </w:t>
      </w:r>
      <w:r w:rsidR="00602BE6">
        <w:rPr>
          <w:rFonts w:cs="Times New Roman"/>
          <w:color w:val="000000" w:themeColor="text1"/>
        </w:rPr>
        <w:t>Emitenta</w:t>
      </w:r>
      <w:r w:rsidRPr="00865B3C">
        <w:rPr>
          <w:rFonts w:cs="Times New Roman"/>
          <w:color w:val="000000" w:themeColor="text1"/>
        </w:rPr>
        <w:t xml:space="preserve"> nástroji s vhodnou splatností, tak i schopnost </w:t>
      </w:r>
      <w:r w:rsidR="00602BE6">
        <w:rPr>
          <w:rFonts w:cs="Times New Roman"/>
          <w:color w:val="000000" w:themeColor="text1"/>
        </w:rPr>
        <w:t>Emitenta</w:t>
      </w:r>
      <w:r w:rsidRPr="00865B3C">
        <w:rPr>
          <w:rFonts w:cs="Times New Roman"/>
          <w:color w:val="000000" w:themeColor="text1"/>
        </w:rPr>
        <w:t xml:space="preserve"> prodat aktiva za přijatelnou cenu v přijatelném časovém horizontu. Likvi</w:t>
      </w:r>
      <w:r w:rsidR="001F75D2">
        <w:rPr>
          <w:rFonts w:cs="Times New Roman"/>
          <w:color w:val="000000" w:themeColor="text1"/>
        </w:rPr>
        <w:t xml:space="preserve">dní </w:t>
      </w:r>
      <w:r w:rsidRPr="00865B3C">
        <w:rPr>
          <w:rFonts w:cs="Times New Roman"/>
          <w:color w:val="000000" w:themeColor="text1"/>
        </w:rPr>
        <w:t xml:space="preserve">pozice </w:t>
      </w:r>
      <w:r w:rsidR="00602BE6">
        <w:rPr>
          <w:rFonts w:cs="Times New Roman"/>
          <w:color w:val="000000" w:themeColor="text1"/>
        </w:rPr>
        <w:t>Emitenta</w:t>
      </w:r>
      <w:r w:rsidRPr="00865B3C">
        <w:rPr>
          <w:rFonts w:cs="Times New Roman"/>
          <w:color w:val="000000" w:themeColor="text1"/>
        </w:rPr>
        <w:t xml:space="preserve"> je součástí pravidelného monitorování ze strany ČNB.</w:t>
      </w:r>
    </w:p>
    <w:p w14:paraId="6D71D921" w14:textId="500E60D4"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má přístup k diverzifikovaným zdrojům financování. Zdroje financování sestávají z depozit a ostatních vkladů, vydaných cenných papírů, přijatých úvěrů včetně podřízených závazků a také z vlastního kapitálu emitenta. Tato diverzifikace dává </w:t>
      </w:r>
      <w:r w:rsidR="00602BE6">
        <w:rPr>
          <w:rFonts w:cs="Times New Roman"/>
          <w:color w:val="000000" w:themeColor="text1"/>
        </w:rPr>
        <w:t>E</w:t>
      </w:r>
      <w:r w:rsidRPr="00865B3C">
        <w:rPr>
          <w:rFonts w:cs="Times New Roman"/>
          <w:color w:val="000000" w:themeColor="text1"/>
        </w:rPr>
        <w:t>mitentovi flexibilitu a omezuje je</w:t>
      </w:r>
      <w:r w:rsidR="001F75D2">
        <w:rPr>
          <w:rFonts w:cs="Times New Roman"/>
          <w:color w:val="000000" w:themeColor="text1"/>
        </w:rPr>
        <w:t>ho</w:t>
      </w:r>
      <w:r w:rsidRPr="00865B3C">
        <w:rPr>
          <w:rFonts w:cs="Times New Roman"/>
          <w:color w:val="000000" w:themeColor="text1"/>
        </w:rPr>
        <w:t xml:space="preserve"> závislost na jednom zdroji financování. Emitent pravidelně vyhodnocuje riziko likvidity, a to zejména </w:t>
      </w:r>
      <w:r w:rsidRPr="00865B3C">
        <w:rPr>
          <w:rFonts w:cs="Times New Roman"/>
          <w:color w:val="000000" w:themeColor="text1"/>
        </w:rPr>
        <w:lastRenderedPageBreak/>
        <w:t>monitorování</w:t>
      </w:r>
      <w:r w:rsidR="00692B64">
        <w:rPr>
          <w:rFonts w:cs="Times New Roman"/>
          <w:color w:val="000000" w:themeColor="text1"/>
        </w:rPr>
        <w:t>m změn ve struktuře financování</w:t>
      </w:r>
      <w:r w:rsidRPr="00865B3C">
        <w:rPr>
          <w:rFonts w:cs="Times New Roman"/>
          <w:color w:val="000000" w:themeColor="text1"/>
        </w:rPr>
        <w:t xml:space="preserve"> a porovnává je se strategií řízení rizika likvidity, kterou schválilo představenstvo </w:t>
      </w:r>
      <w:r w:rsidR="00602BE6">
        <w:rPr>
          <w:rFonts w:cs="Times New Roman"/>
          <w:color w:val="000000" w:themeColor="text1"/>
        </w:rPr>
        <w:t>E</w:t>
      </w:r>
      <w:r w:rsidRPr="00865B3C">
        <w:rPr>
          <w:rFonts w:cs="Times New Roman"/>
          <w:color w:val="000000" w:themeColor="text1"/>
        </w:rPr>
        <w:t xml:space="preserve">mitenta. Emitent dále drží jako součást své strategie řízení rizika likvidity část aktiv ve vysoce likvidních prostředcích jako </w:t>
      </w:r>
      <w:r w:rsidR="00A81163">
        <w:rPr>
          <w:rFonts w:cs="Times New Roman"/>
          <w:color w:val="000000" w:themeColor="text1"/>
        </w:rPr>
        <w:t xml:space="preserve">jsou </w:t>
      </w:r>
      <w:r w:rsidRPr="00865B3C">
        <w:rPr>
          <w:rFonts w:cs="Times New Roman"/>
          <w:color w:val="000000" w:themeColor="text1"/>
        </w:rPr>
        <w:t>státní pokladniční poukázky a obdobné dluhopisy a vklady u ČNB (repo obchody/depozitní facilita). Emitent používá pro diverzifikaci splatnosti z vkladů klientů interní statistické modely, které pravidelně přehodnocuje</w:t>
      </w:r>
      <w:r w:rsidR="00A81163">
        <w:rPr>
          <w:rFonts w:cs="Times New Roman"/>
          <w:color w:val="000000" w:themeColor="text1"/>
        </w:rPr>
        <w:t>.</w:t>
      </w:r>
    </w:p>
    <w:p w14:paraId="43A3AE8A"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p>
    <w:p w14:paraId="3591C910" w14:textId="3A7DC136" w:rsidR="0095155C" w:rsidRPr="00865B3C" w:rsidRDefault="0095155C" w:rsidP="00856149">
      <w:pPr>
        <w:tabs>
          <w:tab w:val="left" w:pos="824"/>
          <w:tab w:val="left" w:pos="825"/>
        </w:tabs>
        <w:spacing w:before="1" w:line="276" w:lineRule="auto"/>
        <w:jc w:val="both"/>
        <w:rPr>
          <w:rFonts w:cs="Times New Roman"/>
          <w:b/>
          <w:color w:val="000000" w:themeColor="text1"/>
        </w:rPr>
      </w:pPr>
      <w:r w:rsidRPr="00865B3C">
        <w:rPr>
          <w:rFonts w:cs="Times New Roman"/>
          <w:b/>
          <w:color w:val="000000" w:themeColor="text1"/>
        </w:rPr>
        <w:t>Měnové riziko</w:t>
      </w:r>
    </w:p>
    <w:p w14:paraId="34DB28C7" w14:textId="413576C2"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Měnové riziko je riziko vyplývající ze změn na měnových trzích. Zdrojem tohoto rizika je měnová pozice </w:t>
      </w:r>
      <w:r w:rsidR="00602BE6">
        <w:rPr>
          <w:rFonts w:cs="Times New Roman"/>
          <w:color w:val="000000" w:themeColor="text1"/>
        </w:rPr>
        <w:t>E</w:t>
      </w:r>
      <w:r w:rsidRPr="00865B3C">
        <w:rPr>
          <w:rFonts w:cs="Times New Roman"/>
          <w:color w:val="000000" w:themeColor="text1"/>
        </w:rPr>
        <w:t xml:space="preserve">mitenta, která je dána nesouladem aktiv a pasiv </w:t>
      </w:r>
      <w:r w:rsidR="00A81163">
        <w:rPr>
          <w:rFonts w:cs="Times New Roman"/>
          <w:color w:val="000000" w:themeColor="text1"/>
        </w:rPr>
        <w:t>E</w:t>
      </w:r>
      <w:r w:rsidRPr="00865B3C">
        <w:rPr>
          <w:rFonts w:cs="Times New Roman"/>
          <w:color w:val="000000" w:themeColor="text1"/>
        </w:rPr>
        <w:t xml:space="preserve">mitenta v různých měnách včetně měnově citlivých položek podrozvahy. Většina kurzových rozdílů je způsobena změnami cizoměnových kurzů u měnových pozic </w:t>
      </w:r>
      <w:r w:rsidR="00602BE6">
        <w:rPr>
          <w:rFonts w:cs="Times New Roman"/>
          <w:color w:val="000000" w:themeColor="text1"/>
        </w:rPr>
        <w:t>Emitenta</w:t>
      </w:r>
      <w:r w:rsidRPr="00865B3C">
        <w:rPr>
          <w:rFonts w:cs="Times New Roman"/>
          <w:color w:val="000000" w:themeColor="text1"/>
        </w:rPr>
        <w:t xml:space="preserve"> denominovaných v EUR a USD. </w:t>
      </w:r>
    </w:p>
    <w:p w14:paraId="56B83C73"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p>
    <w:p w14:paraId="4AD87F6F" w14:textId="18E6C5EB" w:rsidR="0095155C" w:rsidRPr="00865B3C" w:rsidRDefault="00865B3C" w:rsidP="00856149">
      <w:pPr>
        <w:tabs>
          <w:tab w:val="left" w:pos="824"/>
          <w:tab w:val="left" w:pos="825"/>
        </w:tabs>
        <w:spacing w:before="1" w:line="276" w:lineRule="auto"/>
        <w:jc w:val="both"/>
        <w:rPr>
          <w:rFonts w:cs="Times New Roman"/>
          <w:b/>
          <w:color w:val="000000" w:themeColor="text1"/>
        </w:rPr>
      </w:pPr>
      <w:r>
        <w:rPr>
          <w:rFonts w:cs="Times New Roman"/>
          <w:b/>
          <w:color w:val="000000" w:themeColor="text1"/>
        </w:rPr>
        <w:t>Ú</w:t>
      </w:r>
      <w:r w:rsidR="0095155C" w:rsidRPr="00865B3C">
        <w:rPr>
          <w:rFonts w:cs="Times New Roman"/>
          <w:b/>
          <w:color w:val="000000" w:themeColor="text1"/>
        </w:rPr>
        <w:t>rokové riziko</w:t>
      </w:r>
    </w:p>
    <w:p w14:paraId="61A0333F" w14:textId="188C2404"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je vystaven úrokovému riziku vzhledem ke skutečnosti, že úročená aktiva a pasiva mají různé splatnosti nebo období změny/úpravy úrokových sazeb a také objemy v těchto obdobích. V případě proměnlivých úrokových sazeb je </w:t>
      </w:r>
      <w:r w:rsidR="00602BE6">
        <w:rPr>
          <w:rFonts w:cs="Times New Roman"/>
          <w:color w:val="000000" w:themeColor="text1"/>
        </w:rPr>
        <w:t>E</w:t>
      </w:r>
      <w:r w:rsidRPr="00865B3C">
        <w:rPr>
          <w:rFonts w:cs="Times New Roman"/>
          <w:color w:val="000000" w:themeColor="text1"/>
        </w:rPr>
        <w:t xml:space="preserve">mitent vystaven bazickému riziku, které je dáno rozdílem v mechanismu úpravy jednotlivých typů úrokových sazeb </w:t>
      </w:r>
      <w:r w:rsidR="00A81163">
        <w:rPr>
          <w:rFonts w:cs="Times New Roman"/>
          <w:color w:val="000000" w:themeColor="text1"/>
        </w:rPr>
        <w:t>například u úrokov</w:t>
      </w:r>
      <w:r w:rsidR="00101D98">
        <w:rPr>
          <w:rFonts w:cs="Times New Roman"/>
          <w:color w:val="000000" w:themeColor="text1"/>
        </w:rPr>
        <w:t>é</w:t>
      </w:r>
      <w:r w:rsidR="00A81163">
        <w:rPr>
          <w:rFonts w:cs="Times New Roman"/>
          <w:color w:val="000000" w:themeColor="text1"/>
        </w:rPr>
        <w:t xml:space="preserve"> sazby PRIBOR a Emitentem vyhlašované</w:t>
      </w:r>
      <w:r w:rsidRPr="00865B3C">
        <w:rPr>
          <w:rFonts w:cs="Times New Roman"/>
          <w:color w:val="000000" w:themeColor="text1"/>
        </w:rPr>
        <w:t xml:space="preserve"> </w:t>
      </w:r>
      <w:r w:rsidR="00A81163">
        <w:rPr>
          <w:rFonts w:cs="Times New Roman"/>
          <w:color w:val="000000" w:themeColor="text1"/>
        </w:rPr>
        <w:t>úrokové sazb</w:t>
      </w:r>
      <w:r w:rsidR="00101D98">
        <w:rPr>
          <w:rFonts w:cs="Times New Roman"/>
          <w:color w:val="000000" w:themeColor="text1"/>
        </w:rPr>
        <w:t>y</w:t>
      </w:r>
      <w:r w:rsidR="00A81163">
        <w:rPr>
          <w:rFonts w:cs="Times New Roman"/>
          <w:color w:val="000000" w:themeColor="text1"/>
        </w:rPr>
        <w:t xml:space="preserve"> u vkladů. </w:t>
      </w:r>
      <w:r w:rsidRPr="00865B3C">
        <w:rPr>
          <w:rFonts w:cs="Times New Roman"/>
          <w:color w:val="000000" w:themeColor="text1"/>
        </w:rPr>
        <w:t xml:space="preserve">Úrokové riziko </w:t>
      </w:r>
      <w:r w:rsidR="00101D98">
        <w:rPr>
          <w:rFonts w:cs="Times New Roman"/>
          <w:color w:val="000000" w:themeColor="text1"/>
        </w:rPr>
        <w:t>E</w:t>
      </w:r>
      <w:r w:rsidRPr="00865B3C">
        <w:rPr>
          <w:rFonts w:cs="Times New Roman"/>
          <w:color w:val="000000" w:themeColor="text1"/>
        </w:rPr>
        <w:t xml:space="preserve">mitenta je ovlivněno především vývojem </w:t>
      </w:r>
      <w:r w:rsidR="00A81163">
        <w:rPr>
          <w:rFonts w:cs="Times New Roman"/>
          <w:color w:val="000000" w:themeColor="text1"/>
        </w:rPr>
        <w:t xml:space="preserve">mezibankovních úrokových sazeb. </w:t>
      </w:r>
      <w:r w:rsidRPr="00865B3C">
        <w:rPr>
          <w:rFonts w:cs="Times New Roman"/>
          <w:color w:val="000000" w:themeColor="text1"/>
        </w:rPr>
        <w:t>Aktivity v oblasti řízení úrokového rizika mají za cíl optimalizovat čistý úrokový výnos Emitenta v souladu se strategií Emitenta schválenou představenstvem. Pro řízení úrokového rizika rovněž jako v případě řízení likvidity Emitenta používá statistické modely pro distribuci těch položek, u nichž není možné jednoznačně definovat</w:t>
      </w:r>
      <w:r w:rsidR="00602BE6">
        <w:rPr>
          <w:rFonts w:cs="Times New Roman"/>
          <w:color w:val="000000" w:themeColor="text1"/>
        </w:rPr>
        <w:t xml:space="preserve"> </w:t>
      </w:r>
      <w:r w:rsidRPr="00865B3C">
        <w:rPr>
          <w:rFonts w:cs="Times New Roman"/>
          <w:color w:val="000000" w:themeColor="text1"/>
        </w:rPr>
        <w:t xml:space="preserve">okamžik úrokového přecenění či likvidní splatnosti (např. běžných účtů). </w:t>
      </w:r>
    </w:p>
    <w:p w14:paraId="3A7BC071" w14:textId="6650048B"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K řízení nesouladu mezi úrokovou citlivostí aktiv a pasiv jsou ve většině případů používány úrokové deriváty. Tyto transakce jsou uzavírány v souladu se strategií řízení aktiv a pasiv schválenou představenstvem</w:t>
      </w:r>
      <w:r w:rsidR="00602BE6">
        <w:rPr>
          <w:rFonts w:cs="Times New Roman"/>
          <w:color w:val="000000" w:themeColor="text1"/>
        </w:rPr>
        <w:t xml:space="preserve"> Emitenta</w:t>
      </w:r>
      <w:r w:rsidRPr="00865B3C">
        <w:rPr>
          <w:rFonts w:cs="Times New Roman"/>
          <w:color w:val="000000" w:themeColor="text1"/>
        </w:rPr>
        <w:t>.</w:t>
      </w:r>
    </w:p>
    <w:p w14:paraId="389281C6"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Část výnosů Emitenta je generována prostřednictvím cíleného nesouladu mezi úrokově citlivými aktivy a pasivy. Při řízení úrokového rizika je účetní hodnota těchto aktiv a pasiv a nominální hodnota úrokových derivátů zahrnuta do období, ve kterém dochází k jejich splatnosti nebo změně úrokové sazby, a to v tom období, které nastane dříve. Z důvodu očekávaného předčasného splacení nebo nedefinovaných splatností jsou některá aktiva nebo pasiva alokována do jednotlivých období na základě odborného odhadu.</w:t>
      </w:r>
    </w:p>
    <w:p w14:paraId="678950C9"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p>
    <w:p w14:paraId="369644CB" w14:textId="11BB96B6" w:rsidR="0095155C" w:rsidRPr="00865B3C" w:rsidRDefault="0095155C" w:rsidP="00856149">
      <w:pPr>
        <w:tabs>
          <w:tab w:val="left" w:pos="824"/>
          <w:tab w:val="left" w:pos="825"/>
        </w:tabs>
        <w:spacing w:before="1" w:line="276" w:lineRule="auto"/>
        <w:jc w:val="both"/>
        <w:rPr>
          <w:rFonts w:cs="Times New Roman"/>
          <w:b/>
          <w:color w:val="000000" w:themeColor="text1"/>
        </w:rPr>
      </w:pPr>
      <w:r w:rsidRPr="00865B3C">
        <w:rPr>
          <w:rFonts w:cs="Times New Roman"/>
          <w:b/>
          <w:color w:val="000000" w:themeColor="text1"/>
        </w:rPr>
        <w:t>Akciové riziko</w:t>
      </w:r>
    </w:p>
    <w:p w14:paraId="3DD9E0C9" w14:textId="7C360E34"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Akciové riziko je riziko pohybu ceny akciových nástrojů držených v portfoliu </w:t>
      </w:r>
      <w:r w:rsidR="00602BE6">
        <w:rPr>
          <w:rFonts w:cs="Times New Roman"/>
          <w:color w:val="000000" w:themeColor="text1"/>
        </w:rPr>
        <w:t>E</w:t>
      </w:r>
      <w:r w:rsidRPr="00865B3C">
        <w:rPr>
          <w:rFonts w:cs="Times New Roman"/>
          <w:color w:val="000000" w:themeColor="text1"/>
        </w:rPr>
        <w:t xml:space="preserve">mitenta a finančních derivátů odvozených od těchto nástrojů. Jelikož </w:t>
      </w:r>
      <w:r w:rsidR="00602BE6">
        <w:rPr>
          <w:rFonts w:cs="Times New Roman"/>
          <w:color w:val="000000" w:themeColor="text1"/>
        </w:rPr>
        <w:t>E</w:t>
      </w:r>
      <w:r w:rsidRPr="00865B3C">
        <w:rPr>
          <w:rFonts w:cs="Times New Roman"/>
          <w:color w:val="000000" w:themeColor="text1"/>
        </w:rPr>
        <w:t xml:space="preserve">mitent neobchoduje s akciemi na vlastní účet, je </w:t>
      </w:r>
      <w:r w:rsidR="00602BE6">
        <w:rPr>
          <w:rFonts w:cs="Times New Roman"/>
          <w:color w:val="000000" w:themeColor="text1"/>
        </w:rPr>
        <w:t>E</w:t>
      </w:r>
      <w:r w:rsidRPr="00865B3C">
        <w:rPr>
          <w:rFonts w:cs="Times New Roman"/>
          <w:color w:val="000000" w:themeColor="text1"/>
        </w:rPr>
        <w:t xml:space="preserve">mitent vystaven akciovému riziku pouze nepřímo z akcií, které </w:t>
      </w:r>
      <w:r w:rsidR="00602BE6">
        <w:rPr>
          <w:rFonts w:cs="Times New Roman"/>
          <w:color w:val="000000" w:themeColor="text1"/>
        </w:rPr>
        <w:t>E</w:t>
      </w:r>
      <w:r w:rsidRPr="00865B3C">
        <w:rPr>
          <w:rFonts w:cs="Times New Roman"/>
          <w:color w:val="000000" w:themeColor="text1"/>
        </w:rPr>
        <w:t xml:space="preserve">mitent drží jako zástavu kryjící klientské úvěry. </w:t>
      </w:r>
    </w:p>
    <w:p w14:paraId="6A914BF8"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p>
    <w:p w14:paraId="5162986A" w14:textId="541EBDB1" w:rsidR="0095155C" w:rsidRPr="00865B3C" w:rsidRDefault="0095155C" w:rsidP="00856149">
      <w:pPr>
        <w:tabs>
          <w:tab w:val="left" w:pos="824"/>
          <w:tab w:val="left" w:pos="825"/>
        </w:tabs>
        <w:spacing w:before="1" w:line="276" w:lineRule="auto"/>
        <w:jc w:val="both"/>
        <w:rPr>
          <w:rFonts w:cs="Times New Roman"/>
          <w:b/>
          <w:color w:val="000000" w:themeColor="text1"/>
        </w:rPr>
      </w:pPr>
      <w:r w:rsidRPr="00865B3C">
        <w:rPr>
          <w:rFonts w:cs="Times New Roman"/>
          <w:b/>
          <w:color w:val="000000" w:themeColor="text1"/>
        </w:rPr>
        <w:t xml:space="preserve">Operační riziko </w:t>
      </w:r>
    </w:p>
    <w:p w14:paraId="4E7DF505" w14:textId="42587574"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lastRenderedPageBreak/>
        <w:t xml:space="preserve">Operační riziko je v souladu s platnou legislativou definováno jako riziko ztráty </w:t>
      </w:r>
      <w:r w:rsidR="00602BE6">
        <w:rPr>
          <w:rFonts w:cs="Times New Roman"/>
          <w:color w:val="000000" w:themeColor="text1"/>
        </w:rPr>
        <w:t xml:space="preserve">Emitenta </w:t>
      </w:r>
      <w:r w:rsidRPr="00865B3C">
        <w:rPr>
          <w:rFonts w:cs="Times New Roman"/>
          <w:color w:val="000000" w:themeColor="text1"/>
        </w:rPr>
        <w:t xml:space="preserve">vlivem nepřiměřenosti či selhání vnitřních procesů, lidského faktoru nebo systémů či riziko ztráty </w:t>
      </w:r>
      <w:r w:rsidR="00602BE6">
        <w:rPr>
          <w:rFonts w:cs="Times New Roman"/>
          <w:color w:val="000000" w:themeColor="text1"/>
        </w:rPr>
        <w:t>Emitenta</w:t>
      </w:r>
      <w:r w:rsidRPr="00865B3C">
        <w:rPr>
          <w:rFonts w:cs="Times New Roman"/>
          <w:color w:val="000000" w:themeColor="text1"/>
        </w:rPr>
        <w:t xml:space="preserve"> vlivem vnějších událostí. Emitent tato rizika sleduje, eviduje, pravidelně vyhodnocuje a přijímá opatření za účelem minimalizace ztrát.</w:t>
      </w:r>
    </w:p>
    <w:p w14:paraId="512DAAD7"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p>
    <w:p w14:paraId="74925B29" w14:textId="3A600C10" w:rsidR="0095155C" w:rsidRPr="00865B3C" w:rsidRDefault="0095155C" w:rsidP="00856149">
      <w:pPr>
        <w:tabs>
          <w:tab w:val="left" w:pos="824"/>
          <w:tab w:val="left" w:pos="825"/>
        </w:tabs>
        <w:spacing w:before="1" w:line="276" w:lineRule="auto"/>
        <w:jc w:val="both"/>
        <w:rPr>
          <w:rFonts w:cs="Times New Roman"/>
          <w:b/>
          <w:color w:val="000000" w:themeColor="text1"/>
        </w:rPr>
      </w:pPr>
      <w:r w:rsidRPr="00865B3C">
        <w:rPr>
          <w:rFonts w:cs="Times New Roman"/>
          <w:b/>
          <w:color w:val="000000" w:themeColor="text1"/>
        </w:rPr>
        <w:t>Úvěrové riziko</w:t>
      </w:r>
    </w:p>
    <w:p w14:paraId="2DC02CAE"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Emitent je vystaven úvěrovému riziku z titulu svých obchodních aktivit, poskytování úvěrů, zajišťovacích transakcí, investičních aktivit a zprostředkovatelských činností.</w:t>
      </w:r>
    </w:p>
    <w:p w14:paraId="5E9FF653" w14:textId="202BD2A1"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Úvěrová rizika spojená s obchodními a investičními aktivitami </w:t>
      </w:r>
      <w:r w:rsidR="00602BE6">
        <w:rPr>
          <w:rFonts w:cs="Times New Roman"/>
          <w:color w:val="000000" w:themeColor="text1"/>
        </w:rPr>
        <w:t>Emitenta</w:t>
      </w:r>
      <w:r w:rsidRPr="00865B3C">
        <w:rPr>
          <w:rFonts w:cs="Times New Roman"/>
          <w:color w:val="000000" w:themeColor="text1"/>
        </w:rPr>
        <w:t xml:space="preserve"> jsou řízena prostřednictvím metod a nástrojů řízení kreditních rizik </w:t>
      </w:r>
      <w:r w:rsidR="00602BE6">
        <w:rPr>
          <w:rFonts w:cs="Times New Roman"/>
          <w:color w:val="000000" w:themeColor="text1"/>
        </w:rPr>
        <w:t>Emitenta</w:t>
      </w:r>
      <w:r w:rsidRPr="00865B3C">
        <w:rPr>
          <w:rFonts w:cs="Times New Roman"/>
          <w:color w:val="000000" w:themeColor="text1"/>
        </w:rPr>
        <w:t>.</w:t>
      </w:r>
    </w:p>
    <w:p w14:paraId="39B9C404"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(a) Hodnocení zajištění úvěrů:</w:t>
      </w:r>
    </w:p>
    <w:p w14:paraId="26A19C94"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Emitent obecně vyžaduje zajištění úvěrových pohledávek některých klientů před poskytnutím úvěru.</w:t>
      </w:r>
    </w:p>
    <w:p w14:paraId="31E31F66" w14:textId="650AEB28"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Při stanovení přepočtené hodnoty zajištění vychází Emitent u nemovitého zajištění a movitých věcí z odhadů obvyklých cen revidovaných zvláštním útvarem Emitenta, případně z interních hodnocení připravených tímto útvarem. U ostatních typů zajišťovacích instrumentů je jejich hodnota včetně přepočtené hodnoty stanovena v souladu s interními normami Emitenta. Přepočtená hodnota</w:t>
      </w:r>
      <w:r w:rsidR="00602BE6">
        <w:rPr>
          <w:rFonts w:cs="Times New Roman"/>
          <w:color w:val="000000" w:themeColor="text1"/>
        </w:rPr>
        <w:t xml:space="preserve"> </w:t>
      </w:r>
      <w:r w:rsidRPr="00865B3C">
        <w:rPr>
          <w:rFonts w:cs="Times New Roman"/>
          <w:color w:val="000000" w:themeColor="text1"/>
        </w:rPr>
        <w:t>zajištění je poté odvozena ze stanovené obvyklé ceny aplikací korekčního koeficientu, který odráží schopnost Emitenta v případě potřeby zajištění realizovat</w:t>
      </w:r>
      <w:r w:rsidR="00101D98">
        <w:rPr>
          <w:rFonts w:cs="Times New Roman"/>
          <w:color w:val="000000" w:themeColor="text1"/>
        </w:rPr>
        <w:t xml:space="preserve"> zajištění</w:t>
      </w:r>
      <w:r w:rsidRPr="00865B3C">
        <w:rPr>
          <w:rFonts w:cs="Times New Roman"/>
          <w:color w:val="000000" w:themeColor="text1"/>
        </w:rPr>
        <w:t>. Emitent provádí pravidelně revizi, případně přehodnocení hodnoty zajištění v závislosti na druhu a bonitě zajištění, zpravidla nejdéle jednou za rok.</w:t>
      </w:r>
    </w:p>
    <w:p w14:paraId="17A4C22A"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(b) Metody měření úvěrového rizika:</w:t>
      </w:r>
    </w:p>
    <w:p w14:paraId="36E8F87C" w14:textId="55DF6A2F"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Hlavní metody pro řízení úvěrového rizika v oblasti retailu jsou především rating založený na aplikačním a behaviorálním scoringu. Rizika jsou řízena na úrovni portfolií, tzv. portfolio management přístup, prostřednictvím řízení schvalovacího procesu na základě pravidelného sledování vývoje kvality portfolia a predikce vývoje případných budoucích ztrát. V segmentu korporátních podniků měří Emitent úvěrové riziko prostřednictvím ratingových škál (viz dále), přičemž každé ratingové</w:t>
      </w:r>
      <w:r w:rsidR="00A81163">
        <w:rPr>
          <w:rFonts w:cs="Times New Roman"/>
          <w:color w:val="000000" w:themeColor="text1"/>
        </w:rPr>
        <w:t xml:space="preserve"> </w:t>
      </w:r>
      <w:r w:rsidRPr="00865B3C">
        <w:rPr>
          <w:rFonts w:cs="Times New Roman"/>
          <w:color w:val="000000" w:themeColor="text1"/>
        </w:rPr>
        <w:t>kategorii je přiřazena určitá rizikovost (pravděpodobnost selhání a koeficient pro určení rizikově vážených aktiv); takto změřené riziko může být sníženo přijetím zajištění podle platných předpisů České národní banky.</w:t>
      </w:r>
    </w:p>
    <w:p w14:paraId="410AE581"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(c) Koncentrace úvěrového rizika:</w:t>
      </w:r>
    </w:p>
    <w:p w14:paraId="5A135450"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vytvořil systém vnitřních limitů na jednotlivé země, odvětví a klienty (popř. skupiny ekonomicky spjatých klientů) tak, aby dokázal řídit rizika spojená s významnou koncentrací úvěrového rizika. </w:t>
      </w:r>
    </w:p>
    <w:p w14:paraId="4E2FB5D2"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(d) Vymáhání pohledávek</w:t>
      </w:r>
    </w:p>
    <w:p w14:paraId="175F1B4C"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Emitent má v rámci své organizační struktury zřízeny speciální útvary, které provádějí vymáhání a správu pohledávek, jejichž návratnost je ohrožena. Tyto útvary se zabývají příslušnými právními kroky, restrukturalizací pohledávek, jednáním s problémovými klienty apod. za účelem dosažení maximální výtěžnosti, včetně realizace zajištění a zastupování Emitenta ve věřitelských výborech v rámci insolvenčních řízení.</w:t>
      </w:r>
    </w:p>
    <w:p w14:paraId="3F3404DE"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(e) Očekávané úvěrové ztráty</w:t>
      </w:r>
    </w:p>
    <w:p w14:paraId="54C0E6DC" w14:textId="6BF521C2"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Ocenění očekávaných úvěrových ztrát představuje objektivní a pravděpodo</w:t>
      </w:r>
      <w:r w:rsidR="00101D98">
        <w:rPr>
          <w:rFonts w:cs="Times New Roman"/>
          <w:color w:val="000000" w:themeColor="text1"/>
        </w:rPr>
        <w:t xml:space="preserve">bně </w:t>
      </w:r>
      <w:r w:rsidRPr="00865B3C">
        <w:rPr>
          <w:rFonts w:cs="Times New Roman"/>
          <w:color w:val="000000" w:themeColor="text1"/>
        </w:rPr>
        <w:t xml:space="preserve">váženou částku stanovenou na základě posouzení několika možných výsledků, časové hodnoty peněz a přiměřených a </w:t>
      </w:r>
      <w:r w:rsidRPr="00865B3C">
        <w:rPr>
          <w:rFonts w:cs="Times New Roman"/>
          <w:color w:val="000000" w:themeColor="text1"/>
        </w:rPr>
        <w:lastRenderedPageBreak/>
        <w:t>doložitelných informací, které jsou dostupné k datu vykazování bez vynaložení nepřiměřených nákladů nebo úsilí o minulých událostech, současných podmínkách a předpovědí</w:t>
      </w:r>
      <w:r w:rsidR="000B08C7">
        <w:rPr>
          <w:rFonts w:cs="Times New Roman"/>
          <w:color w:val="000000" w:themeColor="text1"/>
        </w:rPr>
        <w:t xml:space="preserve"> </w:t>
      </w:r>
      <w:r w:rsidRPr="00865B3C">
        <w:rPr>
          <w:rFonts w:cs="Times New Roman"/>
          <w:color w:val="000000" w:themeColor="text1"/>
        </w:rPr>
        <w:t>budoucích ekonomických podmínek.</w:t>
      </w:r>
    </w:p>
    <w:p w14:paraId="2A3DD748" w14:textId="77777777" w:rsidR="0095155C" w:rsidRPr="00865B3C" w:rsidRDefault="0095155C" w:rsidP="00856149">
      <w:pPr>
        <w:spacing w:line="276" w:lineRule="auto"/>
        <w:jc w:val="both"/>
        <w:rPr>
          <w:rFonts w:cs="Times New Roman"/>
        </w:rPr>
      </w:pPr>
    </w:p>
    <w:p w14:paraId="6D72E370" w14:textId="6B3161E3" w:rsidR="00BA1CC2" w:rsidRPr="00865B3C" w:rsidRDefault="00BA1CC2" w:rsidP="00856149">
      <w:pPr>
        <w:pStyle w:val="Heading2"/>
        <w:spacing w:line="276" w:lineRule="auto"/>
        <w:jc w:val="both"/>
        <w:rPr>
          <w:rFonts w:cs="Times New Roman"/>
        </w:rPr>
      </w:pPr>
      <w:bookmarkStart w:id="10" w:name="_Toc46755361"/>
      <w:r w:rsidRPr="00865B3C">
        <w:rPr>
          <w:rFonts w:cs="Times New Roman"/>
        </w:rPr>
        <w:t>Rizikové faktory spojené s tržním prostředím, ve kterém Emitent podniká</w:t>
      </w:r>
      <w:bookmarkEnd w:id="10"/>
    </w:p>
    <w:p w14:paraId="1B04BC7E" w14:textId="77777777" w:rsidR="006A7025" w:rsidRPr="00865B3C" w:rsidRDefault="006A7025" w:rsidP="00856149">
      <w:pPr>
        <w:tabs>
          <w:tab w:val="left" w:pos="824"/>
          <w:tab w:val="left" w:pos="825"/>
        </w:tabs>
        <w:spacing w:before="1" w:line="276" w:lineRule="auto"/>
        <w:jc w:val="both"/>
        <w:rPr>
          <w:rFonts w:cs="Times New Roman"/>
          <w:color w:val="000000" w:themeColor="text1"/>
        </w:rPr>
      </w:pPr>
    </w:p>
    <w:p w14:paraId="2667DD8A" w14:textId="7FB078A0" w:rsidR="006A7025" w:rsidRPr="00865B3C" w:rsidRDefault="006A702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Z ekonomického pohledu lze za hlavní rizika považovat schopnost adaptace České republiky na budoucí změny strukturálního charakteru a dále pak makroekonomickou stabilitu partnerských zemí. Česká ekonomika dlouhodobě těžila z výhodné geografické polohy a dostatku kvalifikované pracovní síly, což jí umožňovalo plnit roli průmyslového zpracovatele střední až nižší pozice v dodavatelském řetězci. Vzhledem k postupující automatizaci a robotizaci je významná část českých průmyslových odvětví ohrožena budoucím poklesem poptávky po pracovní síle i samotné produkci. S postupným růstem životní úrovně navíc česká pracovní síla postupně ztrácí svou předchozí nákladovou atraktivitu, což vzhledem k pokračující globalizaci vede k poklesu konkurenceschopnosti. Český soukromý i veřejný sektor tak bude čelit nutnosti ekonomické transformace směrem k technologicky vyspělejším aktivitám. S podobným problémem se potýká i část partnerských zemí v rámci evropského prostoru, na jejichž prosperitu je navázána i ta česká. Ne všechny z nich mají ovšem vzhledem k jejich makroekonomické situaci kapacity pro nezbytnou státní podporu této transformace a hrozí tak u nich vznik makroekonomických nerovnováh. Ty by potenciálně přes mezinárodní provázanost mohly mít negativní dopad i na ekonomiku České republiky.</w:t>
      </w:r>
    </w:p>
    <w:p w14:paraId="79AABFCF" w14:textId="77777777" w:rsidR="006A7025" w:rsidRPr="00865B3C" w:rsidRDefault="006A702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Český bankovní sektor je dlouhodobě stabilní, ziskový, kapitálově silný a likvidní. Disponuje silnou klientskou základnou, díky níž není závislý na externích zdrojích. Poměr klientských úvěrů ku vkladům (LTD ratio) aktuálně dosahuje hodnoty 63 %. Konkurenční prostředí je dostatečně diferencované, přechod klienta mezi jednotlivými bankami není zatížen složitou administrativou. Koncentrace trhu se dlouhodobě nijak zvlášť nemění, TOP 5 bank tvoří zhruba 67 % celkových aktiv bankovního trhu. Mezi jednotlivými bankovními subjekty panuje zdravé konkurenční prostředí. Boj o klienta probíhá především formou inovace nabízených produktů a služeb, rozšiřováním možností on-line správy financí a cenovou politikou. Hlavním rizikem českého bankovního trhu je kvalita úvěrového portfolia. Ta je aktuálně ve velmi dobré kondici s podílem nesplácených úvěrů na úrovni 2,4 %, avšak panuje značná nejistota o budoucím vývoji v souvislosti s ekonomickým propadem díky krizi COVID-19. Prudký nárůst nesplácených úvěrů by pro banky znamenal významné navýšení rizikových nákladů, a tím i zásah do ziskovosti sektoru. Přesto je český bankovní sektor dostatečně robustní, aby takovou situaci ustál bez významných kapitálových potíží.</w:t>
      </w:r>
    </w:p>
    <w:p w14:paraId="77AD34D2" w14:textId="4AD0627C" w:rsidR="006A7025" w:rsidRPr="00865B3C" w:rsidRDefault="006A7025" w:rsidP="00856149">
      <w:pPr>
        <w:spacing w:line="276" w:lineRule="auto"/>
        <w:jc w:val="both"/>
        <w:rPr>
          <w:rFonts w:cs="Times New Roman"/>
        </w:rPr>
      </w:pPr>
    </w:p>
    <w:p w14:paraId="6B8C3433" w14:textId="7ABAD9B3" w:rsidR="00BA1CC2" w:rsidRPr="00865B3C" w:rsidRDefault="00BA1CC2" w:rsidP="00856149">
      <w:pPr>
        <w:pStyle w:val="Heading2"/>
        <w:spacing w:line="276" w:lineRule="auto"/>
        <w:jc w:val="both"/>
        <w:rPr>
          <w:rFonts w:cs="Times New Roman"/>
        </w:rPr>
      </w:pPr>
      <w:bookmarkStart w:id="11" w:name="_Toc46755362"/>
      <w:r w:rsidRPr="00865B3C">
        <w:rPr>
          <w:rFonts w:cs="Times New Roman"/>
        </w:rPr>
        <w:t>Rizikové faktory spojené s kapitálovým trhem, na kterém mají být obchodovány finanční instrumenty Emitenta</w:t>
      </w:r>
      <w:bookmarkEnd w:id="11"/>
    </w:p>
    <w:p w14:paraId="12E7082C" w14:textId="77777777" w:rsidR="0095155C" w:rsidRPr="00865B3C" w:rsidRDefault="0095155C" w:rsidP="00856149">
      <w:pPr>
        <w:tabs>
          <w:tab w:val="left" w:pos="824"/>
          <w:tab w:val="left" w:pos="825"/>
        </w:tabs>
        <w:spacing w:before="1" w:line="276" w:lineRule="auto"/>
        <w:jc w:val="both"/>
        <w:rPr>
          <w:rFonts w:cs="Times New Roman"/>
          <w:color w:val="000000" w:themeColor="text1"/>
        </w:rPr>
      </w:pPr>
    </w:p>
    <w:p w14:paraId="02296849" w14:textId="3A33BF1D"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Neexistující nebo nel</w:t>
      </w:r>
      <w:r w:rsidR="0071162E">
        <w:rPr>
          <w:rFonts w:cs="Times New Roman"/>
          <w:color w:val="000000" w:themeColor="text1"/>
        </w:rPr>
        <w:t>ikvidní akt</w:t>
      </w:r>
      <w:r w:rsidR="00BA322A">
        <w:rPr>
          <w:rFonts w:cs="Times New Roman"/>
          <w:color w:val="000000" w:themeColor="text1"/>
        </w:rPr>
        <w:t>i</w:t>
      </w:r>
      <w:r w:rsidRPr="00865B3C">
        <w:rPr>
          <w:rFonts w:cs="Times New Roman"/>
          <w:color w:val="000000" w:themeColor="text1"/>
        </w:rPr>
        <w:t>vní sekundární trh s </w:t>
      </w:r>
      <w:r w:rsidR="00602BE6">
        <w:rPr>
          <w:rFonts w:cs="Times New Roman"/>
          <w:color w:val="000000" w:themeColor="text1"/>
        </w:rPr>
        <w:t>K</w:t>
      </w:r>
      <w:r w:rsidRPr="00865B3C">
        <w:rPr>
          <w:rFonts w:cs="Times New Roman"/>
          <w:color w:val="000000" w:themeColor="text1"/>
        </w:rPr>
        <w:t>rytými dluhopisy může nepříznivě ovlivnit cenu, za kterou dokáže investor prodat svoje Kryté dluhopisy.</w:t>
      </w:r>
    </w:p>
    <w:p w14:paraId="53510FC6" w14:textId="33888B03"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Kryté dluhopisy nemusí mít při emisi vytvořen </w:t>
      </w:r>
      <w:r w:rsidR="0071162E">
        <w:rPr>
          <w:rFonts w:cs="Times New Roman"/>
          <w:color w:val="000000" w:themeColor="text1"/>
        </w:rPr>
        <w:t xml:space="preserve">obchodní </w:t>
      </w:r>
      <w:r w:rsidRPr="00865B3C">
        <w:rPr>
          <w:rFonts w:cs="Times New Roman"/>
          <w:color w:val="000000" w:themeColor="text1"/>
        </w:rPr>
        <w:t xml:space="preserve">trh a ten se ani nemusí vyvinout později. I když by se </w:t>
      </w:r>
      <w:r w:rsidR="0071162E">
        <w:rPr>
          <w:rFonts w:cs="Times New Roman"/>
          <w:color w:val="000000" w:themeColor="text1"/>
        </w:rPr>
        <w:t xml:space="preserve">tento obchodní trh </w:t>
      </w:r>
      <w:r w:rsidRPr="00865B3C">
        <w:rPr>
          <w:rFonts w:cs="Times New Roman"/>
          <w:color w:val="000000" w:themeColor="text1"/>
        </w:rPr>
        <w:t xml:space="preserve">vyvinul, nemusí být dostatečně likvidní. Z tohoto důvodu investoři nemusí být schopni prodat svoje Kryté dluhopisy nebo je prodat za cenu, která by zabezpečila výnos porovnatelný </w:t>
      </w:r>
      <w:r w:rsidRPr="00865B3C">
        <w:rPr>
          <w:rFonts w:cs="Times New Roman"/>
          <w:color w:val="000000" w:themeColor="text1"/>
        </w:rPr>
        <w:lastRenderedPageBreak/>
        <w:t xml:space="preserve">s podobnými investicemi, které mají rozvinutý sekundární trh. To je </w:t>
      </w:r>
      <w:r w:rsidR="00A81163">
        <w:rPr>
          <w:rFonts w:cs="Times New Roman"/>
          <w:color w:val="000000" w:themeColor="text1"/>
        </w:rPr>
        <w:t xml:space="preserve">i </w:t>
      </w:r>
      <w:r w:rsidRPr="00865B3C">
        <w:rPr>
          <w:rFonts w:cs="Times New Roman"/>
          <w:color w:val="000000" w:themeColor="text1"/>
        </w:rPr>
        <w:t xml:space="preserve"> případ Krytých dluhopisů, které jsou značně citlivé na úrokové, měnové nebo tr</w:t>
      </w:r>
      <w:r w:rsidR="00A81163">
        <w:rPr>
          <w:rFonts w:cs="Times New Roman"/>
          <w:color w:val="000000" w:themeColor="text1"/>
        </w:rPr>
        <w:t>žní</w:t>
      </w:r>
      <w:r w:rsidR="0071162E">
        <w:rPr>
          <w:rFonts w:cs="Times New Roman"/>
          <w:color w:val="000000" w:themeColor="text1"/>
        </w:rPr>
        <w:t xml:space="preserve"> rizika.</w:t>
      </w:r>
    </w:p>
    <w:p w14:paraId="3D48B0C5" w14:textId="28D2C020"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Investor držící Krytý dluhopis, který není denominován v domácí měně investora je vystaven pohybu </w:t>
      </w:r>
      <w:r w:rsidR="009F220D">
        <w:rPr>
          <w:rFonts w:cs="Times New Roman"/>
          <w:color w:val="000000" w:themeColor="text1"/>
        </w:rPr>
        <w:t>měnového</w:t>
      </w:r>
      <w:r w:rsidRPr="00865B3C">
        <w:rPr>
          <w:rFonts w:cs="Times New Roman"/>
          <w:color w:val="000000" w:themeColor="text1"/>
        </w:rPr>
        <w:t xml:space="preserve"> kurzu, který nepříznivě ovlivňuje jeho </w:t>
      </w:r>
      <w:r w:rsidR="009F220D">
        <w:rPr>
          <w:rFonts w:cs="Times New Roman"/>
          <w:color w:val="000000" w:themeColor="text1"/>
        </w:rPr>
        <w:t>výnos.</w:t>
      </w:r>
      <w:r w:rsidRPr="00865B3C">
        <w:rPr>
          <w:rFonts w:cs="Times New Roman"/>
          <w:color w:val="000000" w:themeColor="text1"/>
        </w:rPr>
        <w:t xml:space="preserve"> </w:t>
      </w:r>
    </w:p>
    <w:p w14:paraId="5AFF0191" w14:textId="350E2F55"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bude vyplácet jistinu a úrok z Krytého dluhopisu </w:t>
      </w:r>
      <w:r w:rsidR="009F220D">
        <w:rPr>
          <w:rFonts w:cs="Times New Roman"/>
          <w:color w:val="000000" w:themeColor="text1"/>
        </w:rPr>
        <w:t>ve</w:t>
      </w:r>
      <w:r w:rsidRPr="00865B3C">
        <w:rPr>
          <w:rFonts w:cs="Times New Roman"/>
          <w:color w:val="000000" w:themeColor="text1"/>
        </w:rPr>
        <w:t> stanoven</w:t>
      </w:r>
      <w:r w:rsidR="009F220D">
        <w:rPr>
          <w:rFonts w:cs="Times New Roman"/>
          <w:color w:val="000000" w:themeColor="text1"/>
        </w:rPr>
        <w:t>é</w:t>
      </w:r>
      <w:r w:rsidRPr="00865B3C">
        <w:rPr>
          <w:rFonts w:cs="Times New Roman"/>
          <w:color w:val="000000" w:themeColor="text1"/>
        </w:rPr>
        <w:t xml:space="preserve"> měně nebo měnov</w:t>
      </w:r>
      <w:r w:rsidR="009F220D">
        <w:rPr>
          <w:rFonts w:cs="Times New Roman"/>
          <w:color w:val="000000" w:themeColor="text1"/>
        </w:rPr>
        <w:t>é</w:t>
      </w:r>
      <w:r w:rsidRPr="00865B3C">
        <w:rPr>
          <w:rFonts w:cs="Times New Roman"/>
          <w:color w:val="000000" w:themeColor="text1"/>
        </w:rPr>
        <w:t xml:space="preserve"> jednotce (</w:t>
      </w:r>
      <w:r w:rsidR="009F220D">
        <w:rPr>
          <w:rFonts w:cs="Times New Roman"/>
          <w:color w:val="000000" w:themeColor="text1"/>
        </w:rPr>
        <w:t>m</w:t>
      </w:r>
      <w:r w:rsidRPr="00865B3C">
        <w:rPr>
          <w:rFonts w:cs="Times New Roman"/>
          <w:color w:val="000000" w:themeColor="text1"/>
        </w:rPr>
        <w:t xml:space="preserve">ěna investora), která je jiná než </w:t>
      </w:r>
      <w:r w:rsidR="009F220D">
        <w:rPr>
          <w:rFonts w:cs="Times New Roman"/>
          <w:color w:val="000000" w:themeColor="text1"/>
        </w:rPr>
        <w:t>měna investora.</w:t>
      </w:r>
      <w:r w:rsidRPr="00865B3C">
        <w:rPr>
          <w:rFonts w:cs="Times New Roman"/>
          <w:color w:val="000000" w:themeColor="text1"/>
        </w:rPr>
        <w:t xml:space="preserve"> To zahrnuje riziko, že </w:t>
      </w:r>
      <w:r w:rsidR="009F220D">
        <w:rPr>
          <w:rFonts w:cs="Times New Roman"/>
          <w:color w:val="000000" w:themeColor="text1"/>
        </w:rPr>
        <w:t>měnový</w:t>
      </w:r>
      <w:r w:rsidRPr="00865B3C">
        <w:rPr>
          <w:rFonts w:cs="Times New Roman"/>
          <w:color w:val="000000" w:themeColor="text1"/>
        </w:rPr>
        <w:t xml:space="preserve"> ku</w:t>
      </w:r>
      <w:r w:rsidR="009F220D">
        <w:rPr>
          <w:rFonts w:cs="Times New Roman"/>
          <w:color w:val="000000" w:themeColor="text1"/>
        </w:rPr>
        <w:t>rz se může významně změnit (např.</w:t>
      </w:r>
      <w:r w:rsidRPr="00865B3C">
        <w:rPr>
          <w:rFonts w:cs="Times New Roman"/>
          <w:color w:val="000000" w:themeColor="text1"/>
        </w:rPr>
        <w:t xml:space="preserve"> </w:t>
      </w:r>
      <w:r w:rsidR="009F220D">
        <w:rPr>
          <w:rFonts w:cs="Times New Roman"/>
          <w:color w:val="000000" w:themeColor="text1"/>
        </w:rPr>
        <w:t xml:space="preserve">i </w:t>
      </w:r>
      <w:r w:rsidRPr="00865B3C">
        <w:rPr>
          <w:rFonts w:cs="Times New Roman"/>
          <w:color w:val="000000" w:themeColor="text1"/>
        </w:rPr>
        <w:t>z důvodu devalvace stanovené měny nebo revalvace měny investora) a riziko, že autority s jurisdikcí n</w:t>
      </w:r>
      <w:r w:rsidR="009F220D">
        <w:rPr>
          <w:rFonts w:cs="Times New Roman"/>
          <w:color w:val="000000" w:themeColor="text1"/>
        </w:rPr>
        <w:t>ad měnou investora můžou ovlivnit změnu měnového kurzu</w:t>
      </w:r>
      <w:r w:rsidRPr="00865B3C">
        <w:rPr>
          <w:rFonts w:cs="Times New Roman"/>
          <w:color w:val="000000" w:themeColor="text1"/>
        </w:rPr>
        <w:t>. Abreviace v hodnotě měny investora v porovnání se stanovenou měnou by snížila: (i) výnos investora z Krytého dluhopisu v měně investora, (ii) hodnotu splatn</w:t>
      </w:r>
      <w:r w:rsidR="009F220D">
        <w:rPr>
          <w:rFonts w:cs="Times New Roman"/>
          <w:color w:val="000000" w:themeColor="text1"/>
        </w:rPr>
        <w:t>é</w:t>
      </w:r>
      <w:r w:rsidRPr="00865B3C">
        <w:rPr>
          <w:rFonts w:cs="Times New Roman"/>
          <w:color w:val="000000" w:themeColor="text1"/>
        </w:rPr>
        <w:t xml:space="preserve"> jistiny z Krytého dluhopisu v měně investora, (iii) tr</w:t>
      </w:r>
      <w:r w:rsidR="009F220D">
        <w:rPr>
          <w:rFonts w:cs="Times New Roman"/>
          <w:color w:val="000000" w:themeColor="text1"/>
        </w:rPr>
        <w:t>žní</w:t>
      </w:r>
      <w:r w:rsidRPr="00865B3C">
        <w:rPr>
          <w:rFonts w:cs="Times New Roman"/>
          <w:color w:val="000000" w:themeColor="text1"/>
        </w:rPr>
        <w:t xml:space="preserve"> hodnotu Krytého dluhopisu v měně investora.</w:t>
      </w:r>
    </w:p>
    <w:p w14:paraId="0D04CD7C" w14:textId="4A7332A6"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Vláda a měnové autority m</w:t>
      </w:r>
      <w:r w:rsidR="00602BE6">
        <w:rPr>
          <w:rFonts w:cs="Times New Roman"/>
          <w:color w:val="000000" w:themeColor="text1"/>
        </w:rPr>
        <w:t>ohou</w:t>
      </w:r>
      <w:r w:rsidRPr="00865B3C">
        <w:rPr>
          <w:rFonts w:cs="Times New Roman"/>
          <w:color w:val="000000" w:themeColor="text1"/>
        </w:rPr>
        <w:t xml:space="preserve"> </w:t>
      </w:r>
      <w:r w:rsidR="00A81163">
        <w:rPr>
          <w:rFonts w:cs="Times New Roman"/>
          <w:color w:val="000000" w:themeColor="text1"/>
        </w:rPr>
        <w:t>stanovit</w:t>
      </w:r>
      <w:r w:rsidRPr="00865B3C">
        <w:rPr>
          <w:rFonts w:cs="Times New Roman"/>
          <w:color w:val="000000" w:themeColor="text1"/>
        </w:rPr>
        <w:t xml:space="preserve"> </w:t>
      </w:r>
      <w:r w:rsidR="009F220D">
        <w:rPr>
          <w:rFonts w:cs="Times New Roman"/>
          <w:color w:val="000000" w:themeColor="text1"/>
        </w:rPr>
        <w:t>změnu měnového kurzu</w:t>
      </w:r>
      <w:r w:rsidRPr="00865B3C">
        <w:rPr>
          <w:rFonts w:cs="Times New Roman"/>
          <w:color w:val="000000" w:themeColor="text1"/>
        </w:rPr>
        <w:t xml:space="preserve">, </w:t>
      </w:r>
      <w:r w:rsidR="009F220D">
        <w:rPr>
          <w:rFonts w:cs="Times New Roman"/>
          <w:color w:val="000000" w:themeColor="text1"/>
        </w:rPr>
        <w:t>což může</w:t>
      </w:r>
      <w:r w:rsidRPr="00865B3C">
        <w:rPr>
          <w:rFonts w:cs="Times New Roman"/>
          <w:color w:val="000000" w:themeColor="text1"/>
        </w:rPr>
        <w:t xml:space="preserve"> nepříznivě ovlivnit aplikovaný </w:t>
      </w:r>
      <w:r w:rsidR="009F220D">
        <w:rPr>
          <w:rFonts w:cs="Times New Roman"/>
          <w:color w:val="000000" w:themeColor="text1"/>
        </w:rPr>
        <w:t xml:space="preserve">měnový </w:t>
      </w:r>
      <w:r w:rsidRPr="00865B3C">
        <w:rPr>
          <w:rFonts w:cs="Times New Roman"/>
          <w:color w:val="000000" w:themeColor="text1"/>
        </w:rPr>
        <w:t xml:space="preserve">kurz nebo schopnost Emitenta </w:t>
      </w:r>
      <w:r w:rsidR="009F220D">
        <w:rPr>
          <w:rFonts w:cs="Times New Roman"/>
          <w:color w:val="000000" w:themeColor="text1"/>
        </w:rPr>
        <w:t>realizovat</w:t>
      </w:r>
      <w:r w:rsidRPr="00865B3C">
        <w:rPr>
          <w:rFonts w:cs="Times New Roman"/>
          <w:color w:val="000000" w:themeColor="text1"/>
        </w:rPr>
        <w:t xml:space="preserve"> platby plynoucí z Krytých dluhopisů. Ve výsledku, investor může obdržet </w:t>
      </w:r>
      <w:r w:rsidR="009F220D">
        <w:rPr>
          <w:rFonts w:cs="Times New Roman"/>
          <w:color w:val="000000" w:themeColor="text1"/>
        </w:rPr>
        <w:t>nižší úrok nebo jistinu než očekával.</w:t>
      </w:r>
    </w:p>
    <w:p w14:paraId="4F77786E" w14:textId="1A66755A"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Hodnota Krytého dluhopisu s fixním úrokem může být nepříznivě ovlivněná změnou tr</w:t>
      </w:r>
      <w:r w:rsidR="009F220D">
        <w:rPr>
          <w:rFonts w:cs="Times New Roman"/>
          <w:color w:val="000000" w:themeColor="text1"/>
        </w:rPr>
        <w:t>žních</w:t>
      </w:r>
      <w:r w:rsidRPr="00865B3C">
        <w:rPr>
          <w:rFonts w:cs="Times New Roman"/>
          <w:color w:val="000000" w:themeColor="text1"/>
        </w:rPr>
        <w:t xml:space="preserve"> úrokových sazeb</w:t>
      </w:r>
      <w:r w:rsidR="00602BE6">
        <w:rPr>
          <w:rFonts w:cs="Times New Roman"/>
          <w:color w:val="000000" w:themeColor="text1"/>
        </w:rPr>
        <w:t>.</w:t>
      </w:r>
    </w:p>
    <w:p w14:paraId="355400E8" w14:textId="626ED7A4"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Investice do Krytého dluhopisu s fixním úrokem obsahuje riziko, že tr</w:t>
      </w:r>
      <w:r w:rsidR="009F220D">
        <w:rPr>
          <w:rFonts w:cs="Times New Roman"/>
          <w:color w:val="000000" w:themeColor="text1"/>
        </w:rPr>
        <w:t xml:space="preserve">žní </w:t>
      </w:r>
      <w:r w:rsidRPr="00865B3C">
        <w:rPr>
          <w:rFonts w:cs="Times New Roman"/>
          <w:color w:val="000000" w:themeColor="text1"/>
        </w:rPr>
        <w:t>sazby následně vzrostou nad hodnotu sazby placené z </w:t>
      </w:r>
      <w:r w:rsidR="009F220D">
        <w:rPr>
          <w:rFonts w:cs="Times New Roman"/>
          <w:color w:val="000000" w:themeColor="text1"/>
        </w:rPr>
        <w:t>K</w:t>
      </w:r>
      <w:r w:rsidRPr="00865B3C">
        <w:rPr>
          <w:rFonts w:cs="Times New Roman"/>
          <w:color w:val="000000" w:themeColor="text1"/>
        </w:rPr>
        <w:t xml:space="preserve">rytého dluhopisu s fixním úrokem, </w:t>
      </w:r>
      <w:r w:rsidR="009F220D">
        <w:rPr>
          <w:rFonts w:cs="Times New Roman"/>
          <w:color w:val="000000" w:themeColor="text1"/>
        </w:rPr>
        <w:t xml:space="preserve">což nepříznivě </w:t>
      </w:r>
      <w:r w:rsidRPr="00865B3C">
        <w:rPr>
          <w:rFonts w:cs="Times New Roman"/>
          <w:color w:val="000000" w:themeColor="text1"/>
        </w:rPr>
        <w:t>ovlivní hodnotu Krytého dluhopisu</w:t>
      </w:r>
      <w:r w:rsidR="0071162E">
        <w:rPr>
          <w:rFonts w:cs="Times New Roman"/>
          <w:color w:val="000000" w:themeColor="text1"/>
        </w:rPr>
        <w:t>.</w:t>
      </w:r>
    </w:p>
    <w:p w14:paraId="5793EC4F" w14:textId="7D477405"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Kreditní hodnocení emitenta libovolného Krytého dluhopisu nemusí odrážet všechny rizika spojené s investicí v daných Krytých </w:t>
      </w:r>
      <w:r w:rsidR="009F220D">
        <w:rPr>
          <w:rFonts w:cs="Times New Roman"/>
          <w:color w:val="000000" w:themeColor="text1"/>
        </w:rPr>
        <w:t>d</w:t>
      </w:r>
      <w:r w:rsidRPr="00865B3C">
        <w:rPr>
          <w:rFonts w:cs="Times New Roman"/>
          <w:color w:val="000000" w:themeColor="text1"/>
        </w:rPr>
        <w:t>luhopisech.</w:t>
      </w:r>
    </w:p>
    <w:p w14:paraId="60DD753A" w14:textId="1D9396DB"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Jedna nebo více nezávislých ratingových agentur může přiradit kreditní rating Emitentovi Krytého dluhopisu. Kreditní hodnocení (rating) nemusí odrážet potencionální dopad všech rizik vztahujících se k</w:t>
      </w:r>
      <w:r w:rsidR="00602BE6">
        <w:rPr>
          <w:rFonts w:cs="Times New Roman"/>
          <w:color w:val="000000" w:themeColor="text1"/>
        </w:rPr>
        <w:t xml:space="preserve"> struktuře</w:t>
      </w:r>
      <w:r w:rsidR="0071162E">
        <w:rPr>
          <w:rFonts w:cs="Times New Roman"/>
          <w:color w:val="000000" w:themeColor="text1"/>
        </w:rPr>
        <w:t xml:space="preserve"> trhu. </w:t>
      </w:r>
      <w:r w:rsidRPr="00865B3C">
        <w:rPr>
          <w:rFonts w:cs="Times New Roman"/>
          <w:color w:val="000000" w:themeColor="text1"/>
        </w:rPr>
        <w:t xml:space="preserve">Kreditní hodnocení (rating) není doporučení prodat, koupit nebo držet cenné papíry a může a může být kdykoliv revidován, pozastaven, nebo odebrán ratingovou agenturou. </w:t>
      </w:r>
    </w:p>
    <w:p w14:paraId="01AEA28C" w14:textId="1EA99FB4" w:rsidR="0095155C" w:rsidRPr="00865B3C" w:rsidRDefault="0095155C"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může být </w:t>
      </w:r>
      <w:r w:rsidR="009F220D">
        <w:rPr>
          <w:rFonts w:cs="Times New Roman"/>
          <w:color w:val="000000" w:themeColor="text1"/>
        </w:rPr>
        <w:t xml:space="preserve">rovněž </w:t>
      </w:r>
      <w:r w:rsidRPr="00865B3C">
        <w:rPr>
          <w:rFonts w:cs="Times New Roman"/>
          <w:color w:val="000000" w:themeColor="text1"/>
        </w:rPr>
        <w:t>hodnocený jinou ratingovou agenturou na „nevyžádaném základ</w:t>
      </w:r>
      <w:r w:rsidR="00602BE6">
        <w:rPr>
          <w:rFonts w:cs="Times New Roman"/>
          <w:color w:val="000000" w:themeColor="text1"/>
        </w:rPr>
        <w:t>ě</w:t>
      </w:r>
      <w:r w:rsidRPr="00865B3C">
        <w:rPr>
          <w:rFonts w:cs="Times New Roman"/>
          <w:color w:val="000000" w:themeColor="text1"/>
        </w:rPr>
        <w:t xml:space="preserve">“ a </w:t>
      </w:r>
      <w:r w:rsidR="00602BE6">
        <w:rPr>
          <w:rFonts w:cs="Times New Roman"/>
          <w:color w:val="000000" w:themeColor="text1"/>
        </w:rPr>
        <w:t xml:space="preserve">pokud je </w:t>
      </w:r>
      <w:r w:rsidRPr="00865B3C">
        <w:rPr>
          <w:rFonts w:cs="Times New Roman"/>
          <w:color w:val="000000" w:themeColor="text1"/>
        </w:rPr>
        <w:t xml:space="preserve">„nevyžádaný  rating“ </w:t>
      </w:r>
      <w:r w:rsidR="009F220D">
        <w:rPr>
          <w:rFonts w:cs="Times New Roman"/>
          <w:color w:val="000000" w:themeColor="text1"/>
        </w:rPr>
        <w:t xml:space="preserve">Investora </w:t>
      </w:r>
      <w:r w:rsidRPr="00865B3C">
        <w:rPr>
          <w:rFonts w:cs="Times New Roman"/>
          <w:color w:val="000000" w:themeColor="text1"/>
        </w:rPr>
        <w:t xml:space="preserve">nižší než rating </w:t>
      </w:r>
      <w:r w:rsidR="00696FA4">
        <w:rPr>
          <w:rFonts w:cs="Times New Roman"/>
          <w:color w:val="000000" w:themeColor="text1"/>
        </w:rPr>
        <w:t xml:space="preserve">stanovený </w:t>
      </w:r>
      <w:r w:rsidRPr="00865B3C">
        <w:rPr>
          <w:rFonts w:cs="Times New Roman"/>
          <w:color w:val="000000" w:themeColor="text1"/>
        </w:rPr>
        <w:t>ratingovou agentur</w:t>
      </w:r>
      <w:r w:rsidR="009F220D">
        <w:rPr>
          <w:rFonts w:cs="Times New Roman"/>
          <w:color w:val="000000" w:themeColor="text1"/>
        </w:rPr>
        <w:t>y</w:t>
      </w:r>
      <w:r w:rsidR="00696FA4">
        <w:rPr>
          <w:rFonts w:cs="Times New Roman"/>
          <w:color w:val="000000" w:themeColor="text1"/>
        </w:rPr>
        <w:t xml:space="preserve"> určené Investorem</w:t>
      </w:r>
      <w:r w:rsidR="00090E8B">
        <w:rPr>
          <w:rFonts w:cs="Times New Roman"/>
          <w:color w:val="000000" w:themeColor="text1"/>
        </w:rPr>
        <w:t>,</w:t>
      </w:r>
      <w:r w:rsidRPr="00865B3C">
        <w:rPr>
          <w:rFonts w:cs="Times New Roman"/>
          <w:color w:val="000000" w:themeColor="text1"/>
        </w:rPr>
        <w:t xml:space="preserve"> výše uvedený neformální rating může nepříznivě ovlivnit hodnotu Krytého </w:t>
      </w:r>
      <w:r w:rsidR="00696FA4">
        <w:rPr>
          <w:rFonts w:cs="Times New Roman"/>
          <w:color w:val="000000" w:themeColor="text1"/>
        </w:rPr>
        <w:t>d</w:t>
      </w:r>
      <w:r w:rsidRPr="00865B3C">
        <w:rPr>
          <w:rFonts w:cs="Times New Roman"/>
          <w:color w:val="000000" w:themeColor="text1"/>
        </w:rPr>
        <w:t xml:space="preserve">luhopisu. </w:t>
      </w:r>
    </w:p>
    <w:p w14:paraId="7CBB73BF" w14:textId="14D5EEE8" w:rsidR="00BA1CC2" w:rsidRPr="00865B3C" w:rsidRDefault="00BA1CC2" w:rsidP="00856149">
      <w:pPr>
        <w:spacing w:line="276" w:lineRule="auto"/>
        <w:jc w:val="both"/>
        <w:rPr>
          <w:rFonts w:cs="Times New Roman"/>
        </w:rPr>
      </w:pPr>
    </w:p>
    <w:p w14:paraId="3E5463E4" w14:textId="77777777" w:rsidR="00BA1CC2" w:rsidRPr="00865B3C" w:rsidRDefault="00BA1CC2" w:rsidP="00856149">
      <w:pPr>
        <w:pStyle w:val="Heading1"/>
        <w:spacing w:line="276" w:lineRule="auto"/>
        <w:jc w:val="both"/>
        <w:rPr>
          <w:rFonts w:cs="Times New Roman"/>
        </w:rPr>
      </w:pPr>
      <w:bookmarkStart w:id="12" w:name="_Toc46755363"/>
      <w:r w:rsidRPr="00865B3C">
        <w:rPr>
          <w:rFonts w:cs="Times New Roman"/>
        </w:rPr>
        <w:t>Podrobné informace o investičním nástroji</w:t>
      </w:r>
      <w:bookmarkEnd w:id="12"/>
    </w:p>
    <w:p w14:paraId="3E9DBE50" w14:textId="77777777" w:rsidR="00856149" w:rsidRDefault="00856149" w:rsidP="00856149">
      <w:pPr>
        <w:tabs>
          <w:tab w:val="left" w:pos="824"/>
          <w:tab w:val="left" w:pos="825"/>
        </w:tabs>
        <w:spacing w:before="1" w:line="276" w:lineRule="auto"/>
        <w:jc w:val="both"/>
        <w:rPr>
          <w:rFonts w:cs="Times New Roman"/>
          <w:b/>
          <w:color w:val="000000" w:themeColor="text1"/>
        </w:rPr>
      </w:pPr>
    </w:p>
    <w:p w14:paraId="119B903E" w14:textId="663B96EF" w:rsidR="005768E5" w:rsidRDefault="005768E5" w:rsidP="00B679CC">
      <w:pPr>
        <w:pStyle w:val="Heading2"/>
      </w:pPr>
      <w:bookmarkStart w:id="13" w:name="_Toc46755364"/>
      <w:r w:rsidRPr="00865B3C">
        <w:t>Informace o krytých dluhopisech</w:t>
      </w:r>
      <w:bookmarkEnd w:id="13"/>
    </w:p>
    <w:p w14:paraId="171A3DA5" w14:textId="77777777" w:rsidR="00B679CC" w:rsidRPr="00B679CC" w:rsidRDefault="00B679CC" w:rsidP="00B679CC"/>
    <w:p w14:paraId="17F95725" w14:textId="5724C8B9" w:rsidR="005768E5" w:rsidRPr="00865B3C" w:rsidRDefault="005768E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Kryté dluhopisy vydávané </w:t>
      </w:r>
      <w:r w:rsidR="00602BE6">
        <w:rPr>
          <w:rFonts w:cs="Times New Roman"/>
          <w:color w:val="000000" w:themeColor="text1"/>
        </w:rPr>
        <w:t>E</w:t>
      </w:r>
      <w:r w:rsidRPr="00865B3C">
        <w:rPr>
          <w:rFonts w:cs="Times New Roman"/>
          <w:color w:val="000000" w:themeColor="text1"/>
        </w:rPr>
        <w:t>mitentem se řídí zákonem č. 190/2004 Sb., o dluhopisech, v platném znění (</w:t>
      </w:r>
      <w:r w:rsidRPr="00865B3C">
        <w:rPr>
          <w:rFonts w:cs="Times New Roman"/>
          <w:b/>
          <w:color w:val="000000" w:themeColor="text1"/>
        </w:rPr>
        <w:t>Zákon o dluhopisech</w:t>
      </w:r>
      <w:r w:rsidRPr="00865B3C">
        <w:rPr>
          <w:rFonts w:cs="Times New Roman"/>
          <w:color w:val="000000" w:themeColor="text1"/>
        </w:rPr>
        <w:fldChar w:fldCharType="begin"/>
      </w:r>
      <w:r w:rsidRPr="00865B3C">
        <w:rPr>
          <w:rFonts w:cs="Times New Roman"/>
          <w:color w:val="000000" w:themeColor="text1"/>
        </w:rPr>
        <w:instrText xml:space="preserve"> XE "Zákon o dluhopisech" </w:instrText>
      </w:r>
      <w:r w:rsidRPr="00865B3C">
        <w:rPr>
          <w:rFonts w:cs="Times New Roman"/>
          <w:color w:val="000000" w:themeColor="text1"/>
        </w:rPr>
        <w:fldChar w:fldCharType="end"/>
      </w:r>
      <w:r w:rsidRPr="00865B3C">
        <w:rPr>
          <w:rFonts w:cs="Times New Roman"/>
          <w:color w:val="000000" w:themeColor="text1"/>
        </w:rPr>
        <w:t xml:space="preserve">) a emisními podmínkami vydanými </w:t>
      </w:r>
      <w:r w:rsidR="00602BE6">
        <w:rPr>
          <w:rFonts w:cs="Times New Roman"/>
          <w:color w:val="000000" w:themeColor="text1"/>
        </w:rPr>
        <w:t>E</w:t>
      </w:r>
      <w:r w:rsidRPr="00865B3C">
        <w:rPr>
          <w:rFonts w:cs="Times New Roman"/>
          <w:color w:val="000000" w:themeColor="text1"/>
        </w:rPr>
        <w:t xml:space="preserve">mitentem podle Zákona o dluhopisech. Práva a povinnosti vlastníků </w:t>
      </w:r>
      <w:r w:rsidR="00602BE6">
        <w:rPr>
          <w:rFonts w:cs="Times New Roman"/>
          <w:color w:val="000000" w:themeColor="text1"/>
        </w:rPr>
        <w:t>K</w:t>
      </w:r>
      <w:r w:rsidRPr="00865B3C">
        <w:rPr>
          <w:rFonts w:cs="Times New Roman"/>
          <w:color w:val="000000" w:themeColor="text1"/>
        </w:rPr>
        <w:t>rytých dluhopisů vyplývají ze Zákona o dluhopisech a z emisních podmínek. Emisní podmínky jsou k dispozici na webový</w:t>
      </w:r>
      <w:r w:rsidR="00BE7347" w:rsidRPr="00865B3C">
        <w:rPr>
          <w:rFonts w:cs="Times New Roman"/>
          <w:color w:val="000000" w:themeColor="text1"/>
        </w:rPr>
        <w:t xml:space="preserve">ch stránkách emitenta a rovněž </w:t>
      </w:r>
      <w:r w:rsidRPr="00865B3C">
        <w:rPr>
          <w:rFonts w:cs="Times New Roman"/>
          <w:color w:val="000000" w:themeColor="text1"/>
        </w:rPr>
        <w:t xml:space="preserve">v sídle </w:t>
      </w:r>
      <w:r w:rsidR="00602BE6">
        <w:rPr>
          <w:rFonts w:cs="Times New Roman"/>
          <w:color w:val="000000" w:themeColor="text1"/>
        </w:rPr>
        <w:t>E</w:t>
      </w:r>
      <w:r w:rsidRPr="00865B3C">
        <w:rPr>
          <w:rFonts w:cs="Times New Roman"/>
          <w:color w:val="000000" w:themeColor="text1"/>
        </w:rPr>
        <w:t xml:space="preserve">mitenta v tištěné podobě. Každý nabyvatel </w:t>
      </w:r>
      <w:r w:rsidR="00602BE6">
        <w:rPr>
          <w:rFonts w:cs="Times New Roman"/>
          <w:color w:val="000000" w:themeColor="text1"/>
        </w:rPr>
        <w:t>K</w:t>
      </w:r>
      <w:r w:rsidRPr="00865B3C">
        <w:rPr>
          <w:rFonts w:cs="Times New Roman"/>
          <w:color w:val="000000" w:themeColor="text1"/>
        </w:rPr>
        <w:t xml:space="preserve">rytého dluhopisu je povinen se seznámit před nabytím </w:t>
      </w:r>
      <w:r w:rsidR="00602BE6">
        <w:rPr>
          <w:rFonts w:cs="Times New Roman"/>
          <w:color w:val="000000" w:themeColor="text1"/>
        </w:rPr>
        <w:t>K</w:t>
      </w:r>
      <w:r w:rsidRPr="00865B3C">
        <w:rPr>
          <w:rFonts w:cs="Times New Roman"/>
          <w:color w:val="000000" w:themeColor="text1"/>
        </w:rPr>
        <w:t xml:space="preserve">rytých dluhopisů s emisními podmínkami vydanými </w:t>
      </w:r>
      <w:r w:rsidR="00602BE6">
        <w:rPr>
          <w:rFonts w:cs="Times New Roman"/>
          <w:color w:val="000000" w:themeColor="text1"/>
        </w:rPr>
        <w:t>E</w:t>
      </w:r>
      <w:r w:rsidRPr="00865B3C">
        <w:rPr>
          <w:rFonts w:cs="Times New Roman"/>
          <w:color w:val="000000" w:themeColor="text1"/>
        </w:rPr>
        <w:t xml:space="preserve">mitentem. Vydání </w:t>
      </w:r>
      <w:r w:rsidR="00602BE6">
        <w:rPr>
          <w:rFonts w:cs="Times New Roman"/>
          <w:color w:val="000000" w:themeColor="text1"/>
        </w:rPr>
        <w:t xml:space="preserve">Krytých </w:t>
      </w:r>
      <w:r w:rsidRPr="00865B3C">
        <w:rPr>
          <w:rFonts w:cs="Times New Roman"/>
          <w:color w:val="000000" w:themeColor="text1"/>
        </w:rPr>
        <w:t xml:space="preserve">dluhopisů zabezpečuje </w:t>
      </w:r>
      <w:r w:rsidR="0071162E">
        <w:rPr>
          <w:rFonts w:cs="Times New Roman"/>
          <w:color w:val="000000" w:themeColor="text1"/>
        </w:rPr>
        <w:t>E</w:t>
      </w:r>
      <w:r w:rsidRPr="00865B3C">
        <w:rPr>
          <w:rFonts w:cs="Times New Roman"/>
          <w:color w:val="000000" w:themeColor="text1"/>
        </w:rPr>
        <w:t>mitent.</w:t>
      </w:r>
    </w:p>
    <w:p w14:paraId="5390D7E5" w14:textId="77777777" w:rsidR="00DB578E" w:rsidRPr="00865B3C" w:rsidRDefault="00DB578E" w:rsidP="00856149">
      <w:pPr>
        <w:tabs>
          <w:tab w:val="left" w:pos="824"/>
          <w:tab w:val="left" w:pos="825"/>
        </w:tabs>
        <w:spacing w:before="1" w:line="276" w:lineRule="auto"/>
        <w:jc w:val="both"/>
        <w:rPr>
          <w:rFonts w:cs="Times New Roman"/>
          <w:color w:val="000000" w:themeColor="text1"/>
        </w:rPr>
      </w:pPr>
    </w:p>
    <w:p w14:paraId="76B74188" w14:textId="64BBAF37" w:rsidR="005768E5" w:rsidRDefault="005768E5" w:rsidP="00B679CC">
      <w:pPr>
        <w:pStyle w:val="Heading2"/>
      </w:pPr>
      <w:bookmarkStart w:id="14" w:name="_Toc46755365"/>
      <w:r w:rsidRPr="00865B3C">
        <w:t>Informace o nabídce krytých dluhopisů</w:t>
      </w:r>
      <w:bookmarkEnd w:id="14"/>
    </w:p>
    <w:p w14:paraId="0F3DCDBD" w14:textId="77777777" w:rsidR="00B679CC" w:rsidRPr="00B679CC" w:rsidRDefault="00B679CC" w:rsidP="00B679CC"/>
    <w:p w14:paraId="6F59FA56" w14:textId="13112A37" w:rsidR="005768E5" w:rsidRPr="00865B3C" w:rsidRDefault="005768E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bude </w:t>
      </w:r>
      <w:r w:rsidR="00602BE6">
        <w:rPr>
          <w:rFonts w:cs="Times New Roman"/>
          <w:color w:val="000000" w:themeColor="text1"/>
        </w:rPr>
        <w:t>K</w:t>
      </w:r>
      <w:r w:rsidRPr="00865B3C">
        <w:rPr>
          <w:rFonts w:cs="Times New Roman"/>
          <w:color w:val="000000" w:themeColor="text1"/>
        </w:rPr>
        <w:t xml:space="preserve">ryté dluhopisy k </w:t>
      </w:r>
      <w:r w:rsidR="00602BE6">
        <w:rPr>
          <w:rFonts w:cs="Times New Roman"/>
          <w:color w:val="000000" w:themeColor="text1"/>
        </w:rPr>
        <w:t>D</w:t>
      </w:r>
      <w:r w:rsidRPr="00865B3C">
        <w:rPr>
          <w:rFonts w:cs="Times New Roman"/>
          <w:color w:val="000000" w:themeColor="text1"/>
        </w:rPr>
        <w:t xml:space="preserve">atu emise a po </w:t>
      </w:r>
      <w:r w:rsidR="00602BE6">
        <w:rPr>
          <w:rFonts w:cs="Times New Roman"/>
          <w:color w:val="000000" w:themeColor="text1"/>
        </w:rPr>
        <w:t>D</w:t>
      </w:r>
      <w:r w:rsidRPr="00865B3C">
        <w:rPr>
          <w:rFonts w:cs="Times New Roman"/>
          <w:color w:val="000000" w:themeColor="text1"/>
        </w:rPr>
        <w:t>atu emise nabízet pouze maximálně 149 fyzickým a právnickým osobám (dohromady) v jednom členském státě Evropské unie, které nejsou kvalifikovanými investory ve smyslu článku 2 písm. e) Nařízení Evropského parlamentu a Rady (EU) 2017/1129 ze dne 14. června 2017 o prospektu, který má být uveřejněn při veřejné nabídce nebo přijetí cenných papírů k obchodování na regulovaném trhu, a</w:t>
      </w:r>
      <w:r w:rsidR="005303A3">
        <w:rPr>
          <w:rFonts w:cs="Times New Roman"/>
          <w:color w:val="000000" w:themeColor="text1"/>
        </w:rPr>
        <w:t xml:space="preserve"> o zrušení směrnice 2003/71/ES </w:t>
      </w:r>
      <w:r w:rsidRPr="00865B3C">
        <w:rPr>
          <w:rFonts w:cs="Times New Roman"/>
          <w:color w:val="000000" w:themeColor="text1"/>
        </w:rPr>
        <w:t xml:space="preserve">a </w:t>
      </w:r>
      <w:r w:rsidR="005303A3">
        <w:rPr>
          <w:rFonts w:cs="Times New Roman"/>
          <w:color w:val="000000" w:themeColor="text1"/>
        </w:rPr>
        <w:t>k</w:t>
      </w:r>
      <w:r w:rsidRPr="00865B3C">
        <w:rPr>
          <w:rFonts w:cs="Times New Roman"/>
          <w:color w:val="000000" w:themeColor="text1"/>
        </w:rPr>
        <w:t xml:space="preserve">valifikovaným investorům, tj. na základě výjimky z povinnosti uveřejnit prospekt uvedené v článku 1 odst. 4 písm. a) a b) uvedeného nařízení. Lhůta pro úpis </w:t>
      </w:r>
      <w:r w:rsidR="00602BE6">
        <w:rPr>
          <w:rFonts w:cs="Times New Roman"/>
          <w:color w:val="000000" w:themeColor="text1"/>
        </w:rPr>
        <w:t>K</w:t>
      </w:r>
      <w:r w:rsidRPr="00865B3C">
        <w:rPr>
          <w:rFonts w:cs="Times New Roman"/>
          <w:color w:val="000000" w:themeColor="text1"/>
        </w:rPr>
        <w:t>rytých dluhopisů je uvedena v emisních podmínkách.</w:t>
      </w:r>
    </w:p>
    <w:p w14:paraId="69E59FDD" w14:textId="77777777" w:rsidR="005768E5" w:rsidRPr="00865B3C" w:rsidRDefault="005768E5" w:rsidP="00856149">
      <w:pPr>
        <w:tabs>
          <w:tab w:val="left" w:pos="824"/>
          <w:tab w:val="left" w:pos="825"/>
        </w:tabs>
        <w:spacing w:before="1" w:line="276" w:lineRule="auto"/>
        <w:jc w:val="both"/>
        <w:rPr>
          <w:rFonts w:cs="Times New Roman"/>
          <w:color w:val="000000" w:themeColor="text1"/>
        </w:rPr>
      </w:pPr>
    </w:p>
    <w:p w14:paraId="2932CD69" w14:textId="510A8FB2" w:rsidR="005768E5" w:rsidRDefault="005768E5" w:rsidP="00B679CC">
      <w:pPr>
        <w:pStyle w:val="Heading2"/>
      </w:pPr>
      <w:bookmarkStart w:id="15" w:name="_Toc46755366"/>
      <w:r w:rsidRPr="00865B3C">
        <w:t>Informace o převoditelnosti krytých dluhopisů</w:t>
      </w:r>
      <w:bookmarkEnd w:id="15"/>
    </w:p>
    <w:p w14:paraId="1D3776CF" w14:textId="77777777" w:rsidR="00B679CC" w:rsidRPr="00B679CC" w:rsidRDefault="00B679CC" w:rsidP="00B679CC"/>
    <w:p w14:paraId="1CFEECBE" w14:textId="33358359" w:rsidR="005768E5" w:rsidRPr="00865B3C" w:rsidRDefault="005768E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Převoditelnost </w:t>
      </w:r>
      <w:r w:rsidR="00602BE6">
        <w:rPr>
          <w:rFonts w:cs="Times New Roman"/>
          <w:color w:val="000000" w:themeColor="text1"/>
        </w:rPr>
        <w:t>K</w:t>
      </w:r>
      <w:r w:rsidRPr="00865B3C">
        <w:rPr>
          <w:rFonts w:cs="Times New Roman"/>
          <w:color w:val="000000" w:themeColor="text1"/>
        </w:rPr>
        <w:t>rytých dluhopisů není omezena a může být realizována podle článku 1.4 emisních podmínek.</w:t>
      </w:r>
    </w:p>
    <w:p w14:paraId="7ACD0651" w14:textId="77777777" w:rsidR="005768E5" w:rsidRPr="00865B3C" w:rsidRDefault="005768E5" w:rsidP="00856149">
      <w:pPr>
        <w:tabs>
          <w:tab w:val="left" w:pos="824"/>
          <w:tab w:val="left" w:pos="825"/>
        </w:tabs>
        <w:spacing w:before="1" w:line="276" w:lineRule="auto"/>
        <w:jc w:val="both"/>
        <w:rPr>
          <w:rFonts w:cs="Times New Roman"/>
          <w:b/>
          <w:color w:val="000000" w:themeColor="text1"/>
        </w:rPr>
      </w:pPr>
    </w:p>
    <w:p w14:paraId="267854B4" w14:textId="73D5A030" w:rsidR="005768E5" w:rsidRDefault="005768E5" w:rsidP="00B679CC">
      <w:pPr>
        <w:pStyle w:val="Heading2"/>
      </w:pPr>
      <w:bookmarkStart w:id="16" w:name="_Toc46755367"/>
      <w:r w:rsidRPr="00865B3C">
        <w:t>Informace o výnosu krytých dluhopisů a jejich splatnosti</w:t>
      </w:r>
      <w:bookmarkEnd w:id="16"/>
    </w:p>
    <w:p w14:paraId="656F4C18" w14:textId="77777777" w:rsidR="00B679CC" w:rsidRPr="00B679CC" w:rsidRDefault="00B679CC" w:rsidP="00B679CC"/>
    <w:p w14:paraId="715639DB" w14:textId="3D08EF34" w:rsidR="005768E5" w:rsidRPr="00865B3C" w:rsidRDefault="005768E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Úroková sazba, kterou jsou </w:t>
      </w:r>
      <w:r w:rsidR="00602BE6">
        <w:rPr>
          <w:rFonts w:cs="Times New Roman"/>
          <w:color w:val="000000" w:themeColor="text1"/>
        </w:rPr>
        <w:t>K</w:t>
      </w:r>
      <w:r w:rsidRPr="00865B3C">
        <w:rPr>
          <w:rFonts w:cs="Times New Roman"/>
          <w:color w:val="000000" w:themeColor="text1"/>
        </w:rPr>
        <w:t xml:space="preserve">ryté dluhopisy úročeny je uvedena v článku 1.4 emisních podmínek. Splatnost </w:t>
      </w:r>
      <w:r w:rsidR="00602BE6">
        <w:rPr>
          <w:rFonts w:cs="Times New Roman"/>
          <w:color w:val="000000" w:themeColor="text1"/>
        </w:rPr>
        <w:t>K</w:t>
      </w:r>
      <w:r w:rsidRPr="00865B3C">
        <w:rPr>
          <w:rFonts w:cs="Times New Roman"/>
          <w:color w:val="000000" w:themeColor="text1"/>
        </w:rPr>
        <w:t>rytých dluhopisů nastává v den konečné splatnosti, kterým je podle emisních podmínek datum 28. června 2030.</w:t>
      </w:r>
    </w:p>
    <w:p w14:paraId="13F676CE" w14:textId="77777777" w:rsidR="005768E5" w:rsidRPr="00865B3C" w:rsidRDefault="005768E5" w:rsidP="00856149">
      <w:pPr>
        <w:tabs>
          <w:tab w:val="left" w:pos="824"/>
          <w:tab w:val="left" w:pos="825"/>
        </w:tabs>
        <w:spacing w:before="1" w:line="276" w:lineRule="auto"/>
        <w:jc w:val="both"/>
        <w:rPr>
          <w:rFonts w:cs="Times New Roman"/>
          <w:color w:val="000000" w:themeColor="text1"/>
        </w:rPr>
      </w:pPr>
    </w:p>
    <w:p w14:paraId="71387435" w14:textId="3D852EB1" w:rsidR="005768E5" w:rsidRDefault="005768E5" w:rsidP="00B679CC">
      <w:pPr>
        <w:pStyle w:val="Heading2"/>
        <w:rPr>
          <w:lang w:val="en-GB"/>
        </w:rPr>
      </w:pPr>
      <w:bookmarkStart w:id="17" w:name="_Toc46755368"/>
      <w:r w:rsidRPr="00865B3C">
        <w:rPr>
          <w:lang w:val="en-GB"/>
        </w:rPr>
        <w:t>Informace o zdanění krytých dluhopisů</w:t>
      </w:r>
      <w:bookmarkEnd w:id="17"/>
    </w:p>
    <w:p w14:paraId="395D007C" w14:textId="77777777" w:rsidR="00B679CC" w:rsidRPr="00B679CC" w:rsidRDefault="00B679CC" w:rsidP="00B679CC">
      <w:pPr>
        <w:rPr>
          <w:lang w:val="en-GB"/>
        </w:rPr>
      </w:pPr>
    </w:p>
    <w:p w14:paraId="280D4E27" w14:textId="630160D9" w:rsidR="005768E5" w:rsidRPr="00865B3C" w:rsidRDefault="005768E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Nestanoví-li právní předpis nebo mezinárodní smlouva, kterou je Česká republika vázána, jinak, </w:t>
      </w:r>
      <w:r w:rsidR="00602BE6">
        <w:rPr>
          <w:rFonts w:cs="Times New Roman"/>
          <w:color w:val="000000" w:themeColor="text1"/>
        </w:rPr>
        <w:t>E</w:t>
      </w:r>
      <w:r w:rsidRPr="00865B3C">
        <w:rPr>
          <w:rFonts w:cs="Times New Roman"/>
          <w:color w:val="000000" w:themeColor="text1"/>
        </w:rPr>
        <w:t>mitent neodpovídá za odvod jakýchkoli daní ani mu neplyne povinnost zaplatit jakékoli daně v souvislosti s </w:t>
      </w:r>
      <w:r w:rsidR="004071F0">
        <w:rPr>
          <w:rFonts w:cs="Times New Roman"/>
          <w:color w:val="000000" w:themeColor="text1"/>
        </w:rPr>
        <w:t>K</w:t>
      </w:r>
      <w:r w:rsidRPr="00865B3C">
        <w:rPr>
          <w:rFonts w:cs="Times New Roman"/>
          <w:color w:val="000000" w:themeColor="text1"/>
        </w:rPr>
        <w:t xml:space="preserve">rytými dluhopisy, zejména v důsledku vlastnictví, převodu nebo výkonu práv z </w:t>
      </w:r>
      <w:r w:rsidR="004071F0">
        <w:rPr>
          <w:rFonts w:cs="Times New Roman"/>
          <w:color w:val="000000" w:themeColor="text1"/>
        </w:rPr>
        <w:t>K</w:t>
      </w:r>
      <w:r w:rsidRPr="00865B3C">
        <w:rPr>
          <w:rFonts w:cs="Times New Roman"/>
          <w:color w:val="000000" w:themeColor="text1"/>
        </w:rPr>
        <w:t xml:space="preserve">rytých dluhopisů. Příjem z držby </w:t>
      </w:r>
      <w:r w:rsidR="000A5F15">
        <w:rPr>
          <w:rFonts w:cs="Times New Roman"/>
          <w:color w:val="000000" w:themeColor="text1"/>
        </w:rPr>
        <w:t>K</w:t>
      </w:r>
      <w:r w:rsidRPr="00865B3C">
        <w:rPr>
          <w:rFonts w:cs="Times New Roman"/>
          <w:color w:val="000000" w:themeColor="text1"/>
        </w:rPr>
        <w:t xml:space="preserve">rytých dluhopisů vyplácený fyzickým či právnickým osobám českým daňovým nerezidentům anebo fyzickým osobám českým daňovým rezidentům obecně podléhá srážkové dani vybírané u zdroje (tj. emitentem při úhradě výnosů z držby </w:t>
      </w:r>
      <w:r w:rsidR="000A5F15">
        <w:rPr>
          <w:rFonts w:cs="Times New Roman"/>
          <w:color w:val="000000" w:themeColor="text1"/>
        </w:rPr>
        <w:t>K</w:t>
      </w:r>
      <w:r w:rsidRPr="00865B3C">
        <w:rPr>
          <w:rFonts w:cs="Times New Roman"/>
          <w:color w:val="000000" w:themeColor="text1"/>
        </w:rPr>
        <w:t xml:space="preserve">rytých dluhopisů). V případě, že příjem podléhá srážkové dani, </w:t>
      </w:r>
      <w:r w:rsidR="00602BE6">
        <w:rPr>
          <w:rFonts w:cs="Times New Roman"/>
          <w:color w:val="000000" w:themeColor="text1"/>
        </w:rPr>
        <w:t>E</w:t>
      </w:r>
      <w:r w:rsidRPr="00865B3C">
        <w:rPr>
          <w:rFonts w:cs="Times New Roman"/>
          <w:color w:val="000000" w:themeColor="text1"/>
        </w:rPr>
        <w:t xml:space="preserve">mitent odpovídá za srážku daně u zdroje.  Bude-li vlastnictví, převod nebo výkon práv vyplývajících z </w:t>
      </w:r>
      <w:r w:rsidR="000A5F15">
        <w:rPr>
          <w:rFonts w:cs="Times New Roman"/>
          <w:color w:val="000000" w:themeColor="text1"/>
        </w:rPr>
        <w:t>K</w:t>
      </w:r>
      <w:r w:rsidRPr="00865B3C">
        <w:rPr>
          <w:rFonts w:cs="Times New Roman"/>
          <w:color w:val="000000" w:themeColor="text1"/>
        </w:rPr>
        <w:t xml:space="preserve">rytých dluhopisů podléhat jakékoli dani, nebude </w:t>
      </w:r>
      <w:r w:rsidR="00602BE6">
        <w:rPr>
          <w:rFonts w:cs="Times New Roman"/>
          <w:color w:val="000000" w:themeColor="text1"/>
        </w:rPr>
        <w:t>E</w:t>
      </w:r>
      <w:r w:rsidRPr="00865B3C">
        <w:rPr>
          <w:rFonts w:cs="Times New Roman"/>
          <w:color w:val="000000" w:themeColor="text1"/>
        </w:rPr>
        <w:t>mitent povinen hradit vlastníkovi dluhopisu žádné částky jako náhradu v důsledku takových daní.</w:t>
      </w:r>
    </w:p>
    <w:p w14:paraId="217BF773" w14:textId="19729CAA" w:rsidR="00BA1CC2" w:rsidRDefault="005768E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Daňové předpisy České republiky a daňové předpisy členského státu investora mohou mít dopad na příjem plynoucí z </w:t>
      </w:r>
      <w:r w:rsidR="000A5F15">
        <w:rPr>
          <w:rFonts w:cs="Times New Roman"/>
          <w:color w:val="000000" w:themeColor="text1"/>
        </w:rPr>
        <w:t>K</w:t>
      </w:r>
      <w:r w:rsidRPr="00865B3C">
        <w:rPr>
          <w:rFonts w:cs="Times New Roman"/>
          <w:color w:val="000000" w:themeColor="text1"/>
        </w:rPr>
        <w:t>rytých dluhopisů.</w:t>
      </w:r>
    </w:p>
    <w:p w14:paraId="6738DF6E" w14:textId="77777777" w:rsidR="00C4331A" w:rsidRPr="00865B3C" w:rsidRDefault="00C4331A" w:rsidP="00856149">
      <w:pPr>
        <w:tabs>
          <w:tab w:val="left" w:pos="824"/>
          <w:tab w:val="left" w:pos="825"/>
        </w:tabs>
        <w:spacing w:before="1" w:line="276" w:lineRule="auto"/>
        <w:jc w:val="both"/>
        <w:rPr>
          <w:rFonts w:cs="Times New Roman"/>
          <w:color w:val="000000" w:themeColor="text1"/>
        </w:rPr>
      </w:pPr>
    </w:p>
    <w:p w14:paraId="66252B89" w14:textId="79C71BE4" w:rsidR="00BA1CC2" w:rsidRDefault="00B679CC" w:rsidP="00B679CC">
      <w:pPr>
        <w:pStyle w:val="Heading2"/>
      </w:pPr>
      <w:bookmarkStart w:id="18" w:name="_Toc46755369"/>
      <w:r>
        <w:t>Náklady na registraci</w:t>
      </w:r>
      <w:bookmarkEnd w:id="18"/>
    </w:p>
    <w:p w14:paraId="6685FE99" w14:textId="77777777" w:rsidR="00B679CC" w:rsidRPr="00B679CC" w:rsidRDefault="00B679CC" w:rsidP="00B679CC"/>
    <w:tbl>
      <w:tblPr>
        <w:tblStyle w:val="TableGrid"/>
        <w:tblW w:w="0" w:type="auto"/>
        <w:tblLook w:val="04A0" w:firstRow="1" w:lastRow="0" w:firstColumn="1" w:lastColumn="0" w:noHBand="0" w:noVBand="1"/>
      </w:tblPr>
      <w:tblGrid>
        <w:gridCol w:w="4531"/>
        <w:gridCol w:w="4531"/>
      </w:tblGrid>
      <w:tr w:rsidR="00BA1CC2" w:rsidRPr="00865B3C" w14:paraId="16D14A9D" w14:textId="77777777" w:rsidTr="00865B3C">
        <w:tc>
          <w:tcPr>
            <w:tcW w:w="4531" w:type="dxa"/>
          </w:tcPr>
          <w:p w14:paraId="3B04069A" w14:textId="77777777" w:rsidR="00BA1CC2" w:rsidRPr="00865B3C" w:rsidRDefault="00BA1CC2" w:rsidP="00856149">
            <w:pPr>
              <w:pStyle w:val="BodyText"/>
              <w:spacing w:line="276" w:lineRule="auto"/>
              <w:jc w:val="both"/>
              <w:rPr>
                <w:rFonts w:ascii="Times New Roman" w:hAnsi="Times New Roman" w:cs="Times New Roman"/>
              </w:rPr>
            </w:pPr>
            <w:r w:rsidRPr="00865B3C">
              <w:rPr>
                <w:rFonts w:ascii="Times New Roman" w:hAnsi="Times New Roman" w:cs="Times New Roman"/>
              </w:rPr>
              <w:t>Náklady na služby člena burzy:</w:t>
            </w:r>
          </w:p>
        </w:tc>
        <w:tc>
          <w:tcPr>
            <w:tcW w:w="4531" w:type="dxa"/>
          </w:tcPr>
          <w:p w14:paraId="247E2800" w14:textId="4D283833" w:rsidR="00BA1CC2" w:rsidRPr="00865B3C" w:rsidRDefault="005B43B1" w:rsidP="00856149">
            <w:pPr>
              <w:pStyle w:val="BodyText"/>
              <w:spacing w:line="276" w:lineRule="auto"/>
              <w:jc w:val="both"/>
              <w:rPr>
                <w:rFonts w:ascii="Times New Roman" w:hAnsi="Times New Roman" w:cs="Times New Roman"/>
              </w:rPr>
            </w:pPr>
            <w:r>
              <w:rPr>
                <w:rFonts w:ascii="Times New Roman" w:hAnsi="Times New Roman" w:cs="Times New Roman"/>
                <w:color w:val="000000" w:themeColor="text1"/>
              </w:rPr>
              <w:t>460.</w:t>
            </w:r>
            <w:r w:rsidR="008D3F83" w:rsidRPr="00865B3C">
              <w:rPr>
                <w:rFonts w:ascii="Times New Roman" w:hAnsi="Times New Roman" w:cs="Times New Roman"/>
                <w:color w:val="000000" w:themeColor="text1"/>
              </w:rPr>
              <w:t>000 Kč</w:t>
            </w:r>
            <w:r w:rsidR="00BA1CC2" w:rsidRPr="00865B3C">
              <w:rPr>
                <w:rFonts w:ascii="Times New Roman" w:hAnsi="Times New Roman" w:cs="Times New Roman"/>
                <w:color w:val="000000" w:themeColor="text1"/>
              </w:rPr>
              <w:t xml:space="preserve"> </w:t>
            </w:r>
          </w:p>
        </w:tc>
      </w:tr>
      <w:tr w:rsidR="00BA1CC2" w:rsidRPr="00865B3C" w14:paraId="167FFE05" w14:textId="77777777" w:rsidTr="00865B3C">
        <w:tc>
          <w:tcPr>
            <w:tcW w:w="4531" w:type="dxa"/>
          </w:tcPr>
          <w:p w14:paraId="76282EDE" w14:textId="77777777" w:rsidR="00BA1CC2" w:rsidRPr="00865B3C" w:rsidRDefault="00BA1CC2" w:rsidP="00856149">
            <w:pPr>
              <w:pStyle w:val="BodyText"/>
              <w:spacing w:line="276" w:lineRule="auto"/>
              <w:jc w:val="both"/>
              <w:rPr>
                <w:rFonts w:ascii="Times New Roman" w:hAnsi="Times New Roman" w:cs="Times New Roman"/>
              </w:rPr>
            </w:pPr>
            <w:r w:rsidRPr="00865B3C">
              <w:rPr>
                <w:rFonts w:ascii="Times New Roman" w:hAnsi="Times New Roman" w:cs="Times New Roman"/>
              </w:rPr>
              <w:t>Náklady na právní poradce:</w:t>
            </w:r>
          </w:p>
        </w:tc>
        <w:tc>
          <w:tcPr>
            <w:tcW w:w="4531" w:type="dxa"/>
          </w:tcPr>
          <w:p w14:paraId="7E9ADF93" w14:textId="7CBEFAA5" w:rsidR="00BA1CC2" w:rsidRPr="00865B3C" w:rsidRDefault="00B30905" w:rsidP="005B43B1">
            <w:pPr>
              <w:pStyle w:val="BodyText"/>
              <w:spacing w:line="276" w:lineRule="auto"/>
              <w:jc w:val="both"/>
              <w:rPr>
                <w:rFonts w:ascii="Times New Roman" w:hAnsi="Times New Roman" w:cs="Times New Roman"/>
              </w:rPr>
            </w:pPr>
            <w:r w:rsidRPr="00B30905">
              <w:rPr>
                <w:rFonts w:ascii="Times New Roman" w:hAnsi="Times New Roman" w:cs="Times New Roman"/>
              </w:rPr>
              <w:t>345</w:t>
            </w:r>
            <w:r w:rsidR="005B43B1">
              <w:rPr>
                <w:rFonts w:ascii="Times New Roman" w:hAnsi="Times New Roman" w:cs="Times New Roman"/>
              </w:rPr>
              <w:t>.</w:t>
            </w:r>
            <w:r w:rsidRPr="00B30905">
              <w:rPr>
                <w:rFonts w:ascii="Times New Roman" w:hAnsi="Times New Roman" w:cs="Times New Roman"/>
              </w:rPr>
              <w:t xml:space="preserve">000 Kč </w:t>
            </w:r>
          </w:p>
        </w:tc>
      </w:tr>
      <w:tr w:rsidR="00BA1CC2" w:rsidRPr="00865B3C" w14:paraId="14E95075" w14:textId="77777777" w:rsidTr="00865B3C">
        <w:tc>
          <w:tcPr>
            <w:tcW w:w="4531" w:type="dxa"/>
          </w:tcPr>
          <w:p w14:paraId="4740C3C8" w14:textId="77777777" w:rsidR="00BA1CC2" w:rsidRPr="00865B3C" w:rsidRDefault="00BA1CC2" w:rsidP="00856149">
            <w:pPr>
              <w:pStyle w:val="BodyText"/>
              <w:spacing w:line="276" w:lineRule="auto"/>
              <w:jc w:val="both"/>
              <w:rPr>
                <w:rFonts w:ascii="Times New Roman" w:hAnsi="Times New Roman" w:cs="Times New Roman"/>
              </w:rPr>
            </w:pPr>
            <w:r w:rsidRPr="00865B3C">
              <w:rPr>
                <w:rFonts w:ascii="Times New Roman" w:hAnsi="Times New Roman" w:cs="Times New Roman"/>
              </w:rPr>
              <w:lastRenderedPageBreak/>
              <w:t>Náklady na Úpis:</w:t>
            </w:r>
          </w:p>
        </w:tc>
        <w:tc>
          <w:tcPr>
            <w:tcW w:w="4531" w:type="dxa"/>
          </w:tcPr>
          <w:p w14:paraId="1AA3B1D1" w14:textId="565191E8" w:rsidR="00BA1CC2" w:rsidRPr="00865B3C" w:rsidRDefault="005E6FB2" w:rsidP="00856149">
            <w:pPr>
              <w:pStyle w:val="BodyText"/>
              <w:spacing w:line="276" w:lineRule="auto"/>
              <w:jc w:val="both"/>
              <w:rPr>
                <w:rFonts w:ascii="Times New Roman" w:hAnsi="Times New Roman" w:cs="Times New Roman"/>
              </w:rPr>
            </w:pPr>
            <w:r w:rsidRPr="00865B3C">
              <w:rPr>
                <w:rFonts w:ascii="Times New Roman" w:hAnsi="Times New Roman" w:cs="Times New Roman"/>
              </w:rPr>
              <w:t xml:space="preserve">10.000 Kč </w:t>
            </w:r>
          </w:p>
        </w:tc>
      </w:tr>
      <w:tr w:rsidR="005E6FB2" w:rsidRPr="00865B3C" w14:paraId="70412A56" w14:textId="77777777" w:rsidTr="00865B3C">
        <w:tc>
          <w:tcPr>
            <w:tcW w:w="4531" w:type="dxa"/>
          </w:tcPr>
          <w:p w14:paraId="55C04E74" w14:textId="77777777" w:rsidR="005E6FB2" w:rsidRPr="00865B3C" w:rsidRDefault="005E6FB2" w:rsidP="00856149">
            <w:pPr>
              <w:pStyle w:val="BodyText"/>
              <w:spacing w:line="276" w:lineRule="auto"/>
              <w:jc w:val="both"/>
              <w:rPr>
                <w:rFonts w:ascii="Times New Roman" w:hAnsi="Times New Roman" w:cs="Times New Roman"/>
              </w:rPr>
            </w:pPr>
            <w:r w:rsidRPr="00865B3C">
              <w:rPr>
                <w:rFonts w:ascii="Times New Roman" w:hAnsi="Times New Roman" w:cs="Times New Roman"/>
              </w:rPr>
              <w:t>Náklady CDCP:</w:t>
            </w:r>
          </w:p>
        </w:tc>
        <w:tc>
          <w:tcPr>
            <w:tcW w:w="4531" w:type="dxa"/>
          </w:tcPr>
          <w:p w14:paraId="4D8E8996" w14:textId="1F515100" w:rsidR="005E6FB2" w:rsidRPr="00865B3C" w:rsidRDefault="00B679CC" w:rsidP="00856149">
            <w:pPr>
              <w:pStyle w:val="BodyText"/>
              <w:spacing w:line="276" w:lineRule="auto"/>
              <w:jc w:val="both"/>
              <w:rPr>
                <w:rFonts w:ascii="Times New Roman" w:hAnsi="Times New Roman" w:cs="Times New Roman"/>
              </w:rPr>
            </w:pPr>
            <w:r>
              <w:rPr>
                <w:rFonts w:ascii="Times New Roman" w:hAnsi="Times New Roman" w:cs="Times New Roman"/>
              </w:rPr>
              <w:t>146.625 Kč</w:t>
            </w:r>
          </w:p>
        </w:tc>
      </w:tr>
      <w:tr w:rsidR="00BA1CC2" w:rsidRPr="00865B3C" w14:paraId="15F3CBFB" w14:textId="77777777" w:rsidTr="00865B3C">
        <w:tc>
          <w:tcPr>
            <w:tcW w:w="4531" w:type="dxa"/>
          </w:tcPr>
          <w:p w14:paraId="12B092C0" w14:textId="77777777" w:rsidR="00BA1CC2" w:rsidRPr="00865B3C" w:rsidRDefault="00BA1CC2" w:rsidP="00856149">
            <w:pPr>
              <w:pStyle w:val="BodyText"/>
              <w:spacing w:line="276" w:lineRule="auto"/>
              <w:jc w:val="both"/>
              <w:rPr>
                <w:rFonts w:ascii="Times New Roman" w:hAnsi="Times New Roman" w:cs="Times New Roman"/>
              </w:rPr>
            </w:pPr>
            <w:r w:rsidRPr="00865B3C">
              <w:rPr>
                <w:rFonts w:ascii="Times New Roman" w:hAnsi="Times New Roman" w:cs="Times New Roman"/>
              </w:rPr>
              <w:t>Celkem:</w:t>
            </w:r>
          </w:p>
        </w:tc>
        <w:tc>
          <w:tcPr>
            <w:tcW w:w="4531" w:type="dxa"/>
          </w:tcPr>
          <w:p w14:paraId="1AFA78AA" w14:textId="1D450557" w:rsidR="00BA1CC2" w:rsidRPr="00865B3C" w:rsidRDefault="00B679CC" w:rsidP="00856149">
            <w:pPr>
              <w:pStyle w:val="BodyText"/>
              <w:spacing w:line="276" w:lineRule="auto"/>
              <w:jc w:val="both"/>
              <w:rPr>
                <w:rFonts w:ascii="Times New Roman" w:hAnsi="Times New Roman" w:cs="Times New Roman"/>
              </w:rPr>
            </w:pPr>
            <w:r>
              <w:rPr>
                <w:rFonts w:ascii="Times New Roman" w:hAnsi="Times New Roman" w:cs="Times New Roman"/>
              </w:rPr>
              <w:t>961.625 Kč</w:t>
            </w:r>
          </w:p>
        </w:tc>
      </w:tr>
      <w:tr w:rsidR="00BA1CC2" w:rsidRPr="00865B3C" w14:paraId="3F4F2805" w14:textId="77777777" w:rsidTr="00865B3C">
        <w:tc>
          <w:tcPr>
            <w:tcW w:w="4531" w:type="dxa"/>
          </w:tcPr>
          <w:p w14:paraId="44E514D4" w14:textId="77777777" w:rsidR="00BA1CC2" w:rsidRPr="00865B3C" w:rsidRDefault="00BA1CC2" w:rsidP="00856149">
            <w:pPr>
              <w:pStyle w:val="BodyText"/>
              <w:spacing w:line="276" w:lineRule="auto"/>
              <w:jc w:val="both"/>
              <w:rPr>
                <w:rFonts w:ascii="Times New Roman" w:hAnsi="Times New Roman" w:cs="Times New Roman"/>
              </w:rPr>
            </w:pPr>
            <w:r w:rsidRPr="00865B3C">
              <w:rPr>
                <w:rFonts w:ascii="Times New Roman" w:hAnsi="Times New Roman" w:cs="Times New Roman"/>
              </w:rPr>
              <w:t>Celkem % z upsané částky:</w:t>
            </w:r>
          </w:p>
        </w:tc>
        <w:tc>
          <w:tcPr>
            <w:tcW w:w="4531" w:type="dxa"/>
          </w:tcPr>
          <w:p w14:paraId="235CEF25" w14:textId="7651B983" w:rsidR="00BA1CC2" w:rsidRPr="00865B3C" w:rsidRDefault="00B679CC" w:rsidP="00A82BBA">
            <w:pPr>
              <w:pStyle w:val="BodyText"/>
              <w:spacing w:line="276" w:lineRule="auto"/>
              <w:jc w:val="both"/>
              <w:rPr>
                <w:rFonts w:ascii="Times New Roman" w:hAnsi="Times New Roman" w:cs="Times New Roman"/>
              </w:rPr>
            </w:pPr>
            <w:r>
              <w:rPr>
                <w:rFonts w:ascii="Times New Roman" w:hAnsi="Times New Roman" w:cs="Times New Roman"/>
              </w:rPr>
              <w:t>0,096</w:t>
            </w:r>
            <w:r w:rsidR="00A82BBA">
              <w:rPr>
                <w:rFonts w:ascii="Times New Roman" w:hAnsi="Times New Roman" w:cs="Times New Roman"/>
              </w:rPr>
              <w:t>2</w:t>
            </w:r>
            <w:r>
              <w:rPr>
                <w:rFonts w:ascii="Times New Roman" w:hAnsi="Times New Roman" w:cs="Times New Roman"/>
              </w:rPr>
              <w:t>%</w:t>
            </w:r>
          </w:p>
        </w:tc>
      </w:tr>
    </w:tbl>
    <w:p w14:paraId="5ABF2FE4" w14:textId="77777777" w:rsidR="00BA1CC2" w:rsidRPr="00865B3C" w:rsidRDefault="00BA1CC2" w:rsidP="00856149">
      <w:pPr>
        <w:spacing w:line="276" w:lineRule="auto"/>
        <w:jc w:val="both"/>
        <w:rPr>
          <w:rFonts w:cs="Times New Roman"/>
        </w:rPr>
      </w:pPr>
    </w:p>
    <w:p w14:paraId="739D2321" w14:textId="77777777" w:rsidR="00A6115E" w:rsidRPr="00865B3C" w:rsidRDefault="00A6115E" w:rsidP="00856149">
      <w:pPr>
        <w:pStyle w:val="Heading1"/>
        <w:spacing w:line="276" w:lineRule="auto"/>
        <w:jc w:val="both"/>
        <w:rPr>
          <w:rFonts w:cs="Times New Roman"/>
        </w:rPr>
      </w:pPr>
      <w:bookmarkStart w:id="19" w:name="_Toc46755370"/>
      <w:r w:rsidRPr="00865B3C">
        <w:rPr>
          <w:rFonts w:cs="Times New Roman"/>
        </w:rPr>
        <w:t>Informace o Emitentovi</w:t>
      </w:r>
      <w:bookmarkEnd w:id="19"/>
    </w:p>
    <w:p w14:paraId="34FD3830" w14:textId="77777777" w:rsidR="00856149" w:rsidRDefault="00856149" w:rsidP="00856149">
      <w:pPr>
        <w:spacing w:before="1" w:line="276" w:lineRule="auto"/>
        <w:jc w:val="both"/>
        <w:rPr>
          <w:rFonts w:cs="Times New Roman"/>
        </w:rPr>
      </w:pPr>
    </w:p>
    <w:p w14:paraId="7E4FAA7A" w14:textId="153D335E" w:rsidR="007F5559" w:rsidRPr="00865B3C" w:rsidRDefault="007F5559" w:rsidP="00856149">
      <w:pPr>
        <w:spacing w:before="1" w:line="276" w:lineRule="auto"/>
        <w:jc w:val="both"/>
        <w:rPr>
          <w:rFonts w:cs="Times New Roman"/>
        </w:rPr>
      </w:pPr>
      <w:r w:rsidRPr="00865B3C">
        <w:rPr>
          <w:rFonts w:cs="Times New Roman"/>
        </w:rPr>
        <w:t xml:space="preserve">Emitent je akciová společnost podle zákona č. 90/2012 Sb. o obchodních společnostech a družstev, v platném znění. Emitent působí jako banka podle zákona č. 21/1992 Sb., o bankách v platném znění a jako obchodník s cennými papíry podle zákona č. 256/2004 Sb., o podnikání na kapitálovém trhu, v platném znění. Rozsah povolených činností </w:t>
      </w:r>
      <w:r w:rsidR="00602BE6">
        <w:rPr>
          <w:rFonts w:cs="Times New Roman"/>
        </w:rPr>
        <w:t>E</w:t>
      </w:r>
      <w:r w:rsidRPr="00865B3C">
        <w:rPr>
          <w:rFonts w:cs="Times New Roman"/>
        </w:rPr>
        <w:t xml:space="preserve">mitenta je uvedený na webových stránkách České národní banky. Emitent působí pouze na území České republiky. Statutárním orgánem </w:t>
      </w:r>
      <w:r w:rsidR="00602BE6">
        <w:rPr>
          <w:rFonts w:cs="Times New Roman"/>
        </w:rPr>
        <w:t>E</w:t>
      </w:r>
      <w:r w:rsidRPr="00865B3C">
        <w:rPr>
          <w:rFonts w:cs="Times New Roman"/>
        </w:rPr>
        <w:t>mitenta je 7 členné představenstvo. Na činnost představenstva a společnosti dohlíží 12 členná dozorčí rada.</w:t>
      </w:r>
    </w:p>
    <w:p w14:paraId="514C18E8" w14:textId="77777777" w:rsidR="007F5559" w:rsidRPr="00865B3C" w:rsidRDefault="007F5559" w:rsidP="00856149">
      <w:pPr>
        <w:spacing w:line="276" w:lineRule="auto"/>
        <w:jc w:val="both"/>
        <w:rPr>
          <w:rFonts w:cs="Times New Roman"/>
        </w:rPr>
      </w:pPr>
    </w:p>
    <w:p w14:paraId="6F646F98" w14:textId="77777777" w:rsidR="00A6115E" w:rsidRPr="00865B3C" w:rsidRDefault="00A6115E" w:rsidP="00856149">
      <w:pPr>
        <w:pStyle w:val="Heading2"/>
        <w:spacing w:line="276" w:lineRule="auto"/>
        <w:jc w:val="both"/>
        <w:rPr>
          <w:rFonts w:cs="Times New Roman"/>
        </w:rPr>
      </w:pPr>
      <w:bookmarkStart w:id="20" w:name="_Toc46755371"/>
      <w:r w:rsidRPr="00865B3C">
        <w:rPr>
          <w:rFonts w:cs="Times New Roman"/>
        </w:rPr>
        <w:t>Důležité informace o historickém o vývoji Emitenta</w:t>
      </w:r>
      <w:bookmarkEnd w:id="20"/>
    </w:p>
    <w:p w14:paraId="0FF7703C" w14:textId="77777777" w:rsidR="00BE7347" w:rsidRPr="00865B3C" w:rsidRDefault="00BE7347" w:rsidP="00856149">
      <w:pPr>
        <w:pStyle w:val="ListParagraph"/>
        <w:tabs>
          <w:tab w:val="left" w:pos="824"/>
          <w:tab w:val="left" w:pos="825"/>
        </w:tabs>
        <w:spacing w:line="276" w:lineRule="auto"/>
        <w:ind w:left="0"/>
        <w:contextualSpacing w:val="0"/>
        <w:jc w:val="both"/>
        <w:rPr>
          <w:rFonts w:cs="Times New Roman"/>
          <w:color w:val="000000" w:themeColor="text1"/>
        </w:rPr>
      </w:pPr>
    </w:p>
    <w:p w14:paraId="7B1A08F6" w14:textId="623CDA25" w:rsidR="002C0C56" w:rsidRPr="00865B3C" w:rsidRDefault="000A5F15" w:rsidP="00856149">
      <w:pPr>
        <w:pStyle w:val="ListParagraph"/>
        <w:tabs>
          <w:tab w:val="left" w:pos="824"/>
          <w:tab w:val="left" w:pos="825"/>
        </w:tabs>
        <w:spacing w:line="276" w:lineRule="auto"/>
        <w:ind w:left="0"/>
        <w:contextualSpacing w:val="0"/>
        <w:jc w:val="both"/>
        <w:rPr>
          <w:rFonts w:cs="Times New Roman"/>
          <w:color w:val="000000" w:themeColor="text1"/>
        </w:rPr>
      </w:pPr>
      <w:r>
        <w:rPr>
          <w:rFonts w:cs="Times New Roman"/>
          <w:color w:val="000000" w:themeColor="text1"/>
        </w:rPr>
        <w:t xml:space="preserve">Emitent </w:t>
      </w:r>
      <w:r w:rsidR="002C0C56" w:rsidRPr="00865B3C">
        <w:rPr>
          <w:rFonts w:cs="Times New Roman"/>
          <w:color w:val="000000" w:themeColor="text1"/>
        </w:rPr>
        <w:t>b</w:t>
      </w:r>
      <w:r w:rsidR="00BA322A">
        <w:rPr>
          <w:rFonts w:cs="Times New Roman"/>
          <w:color w:val="000000" w:themeColor="text1"/>
        </w:rPr>
        <w:t>yl</w:t>
      </w:r>
      <w:r>
        <w:rPr>
          <w:rFonts w:cs="Times New Roman"/>
          <w:color w:val="000000" w:themeColor="text1"/>
        </w:rPr>
        <w:t xml:space="preserve"> založen</w:t>
      </w:r>
      <w:r w:rsidR="002C0C56" w:rsidRPr="00865B3C">
        <w:rPr>
          <w:rFonts w:cs="Times New Roman"/>
          <w:color w:val="000000" w:themeColor="text1"/>
        </w:rPr>
        <w:t xml:space="preserve"> v roce 1993 a díky úspěšn</w:t>
      </w:r>
      <w:r>
        <w:rPr>
          <w:rFonts w:cs="Times New Roman"/>
          <w:color w:val="000000" w:themeColor="text1"/>
        </w:rPr>
        <w:t>ému růstu se postupem času stal</w:t>
      </w:r>
      <w:r w:rsidR="002C0C56" w:rsidRPr="00865B3C">
        <w:rPr>
          <w:rFonts w:cs="Times New Roman"/>
          <w:color w:val="000000" w:themeColor="text1"/>
        </w:rPr>
        <w:t xml:space="preserve"> pátou největší bankou, pevně etablovanou na tuzemském trhu, která poskytuje precizní bankovnictví, transparentní produkty a spolehlivý servis soukromé i firemní klientele. Vedle obchodních aktivit se </w:t>
      </w:r>
      <w:r>
        <w:rPr>
          <w:rFonts w:cs="Times New Roman"/>
          <w:color w:val="000000" w:themeColor="text1"/>
        </w:rPr>
        <w:t xml:space="preserve">Emitent </w:t>
      </w:r>
      <w:r w:rsidR="002C0C56" w:rsidRPr="00865B3C">
        <w:rPr>
          <w:rFonts w:cs="Times New Roman"/>
          <w:color w:val="000000" w:themeColor="text1"/>
        </w:rPr>
        <w:t xml:space="preserve">angažuje rovněž v řadě veřejně prospěšných aktivit, zahrnujících vzdělávání, charitativní i kulturní projekty. Společenská odpovědnost je součástí firemních hodnot, kultury i strategie a stojí na historických základech samotné značky Raiffeisen. </w:t>
      </w:r>
    </w:p>
    <w:p w14:paraId="30D6B131" w14:textId="77777777"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p>
    <w:p w14:paraId="45D953AC" w14:textId="3D6BB81D" w:rsidR="007D20FB" w:rsidRPr="00865B3C" w:rsidRDefault="002C0C56" w:rsidP="00856149">
      <w:pPr>
        <w:pStyle w:val="ListParagraph"/>
        <w:tabs>
          <w:tab w:val="left" w:pos="824"/>
          <w:tab w:val="left" w:pos="825"/>
        </w:tabs>
        <w:spacing w:line="276" w:lineRule="auto"/>
        <w:ind w:left="0"/>
        <w:contextualSpacing w:val="0"/>
        <w:jc w:val="both"/>
        <w:rPr>
          <w:rFonts w:cs="Times New Roman"/>
          <w:b/>
          <w:color w:val="000000" w:themeColor="text1"/>
        </w:rPr>
      </w:pPr>
      <w:r w:rsidRPr="00865B3C">
        <w:rPr>
          <w:rFonts w:cs="Times New Roman"/>
          <w:b/>
          <w:color w:val="000000" w:themeColor="text1"/>
        </w:rPr>
        <w:t>Historie skupiny Raiffeisen</w:t>
      </w:r>
    </w:p>
    <w:p w14:paraId="3F62A416" w14:textId="0AD98FEC" w:rsidR="007D20FB"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Historie Raiffeisenbank sahá až do 19. století. Při vzniku finanční skupiny Raiffeisen stál Fried</w:t>
      </w:r>
      <w:r w:rsidR="001E7A25">
        <w:rPr>
          <w:rFonts w:cs="Times New Roman"/>
          <w:color w:val="000000" w:themeColor="text1"/>
        </w:rPr>
        <w:t xml:space="preserve">rich Wilhelm Raiffeisen, </w:t>
      </w:r>
      <w:r w:rsidRPr="00865B3C">
        <w:rPr>
          <w:rFonts w:cs="Times New Roman"/>
          <w:color w:val="000000" w:themeColor="text1"/>
        </w:rPr>
        <w:t>který v roce 1862 založil v Anhausenu první družstevní bankovní asociaci. V polovině 90. let 19. století pracovalo v Rakousku podle systému Rai</w:t>
      </w:r>
      <w:r w:rsidR="001E7A25">
        <w:rPr>
          <w:rFonts w:cs="Times New Roman"/>
          <w:color w:val="000000" w:themeColor="text1"/>
        </w:rPr>
        <w:t>ffeisen již více než 600 ústavů a Raiffe</w:t>
      </w:r>
      <w:r w:rsidR="002A36E7">
        <w:rPr>
          <w:rFonts w:cs="Times New Roman"/>
          <w:color w:val="000000" w:themeColor="text1"/>
        </w:rPr>
        <w:t>isenbank se postupem času stala</w:t>
      </w:r>
      <w:r w:rsidRPr="00865B3C">
        <w:rPr>
          <w:rFonts w:cs="Times New Roman"/>
          <w:color w:val="000000" w:themeColor="text1"/>
        </w:rPr>
        <w:t xml:space="preserve"> největší soukromou finanční skupinou</w:t>
      </w:r>
      <w:r w:rsidR="001E7A25">
        <w:rPr>
          <w:rFonts w:cs="Times New Roman"/>
          <w:color w:val="000000" w:themeColor="text1"/>
        </w:rPr>
        <w:t xml:space="preserve"> v Rakousku</w:t>
      </w:r>
      <w:r w:rsidRPr="00865B3C">
        <w:rPr>
          <w:rFonts w:cs="Times New Roman"/>
          <w:color w:val="000000" w:themeColor="text1"/>
        </w:rPr>
        <w:t xml:space="preserve">. </w:t>
      </w:r>
      <w:r w:rsidR="002A36E7">
        <w:rPr>
          <w:rFonts w:cs="Times New Roman"/>
          <w:color w:val="000000" w:themeColor="text1"/>
        </w:rPr>
        <w:t>Roku 1993 expand</w:t>
      </w:r>
      <w:r w:rsidR="00EB6B41">
        <w:rPr>
          <w:rFonts w:cs="Times New Roman"/>
          <w:color w:val="000000" w:themeColor="text1"/>
        </w:rPr>
        <w:t>uje Raiffeisenbank na český trh.</w:t>
      </w:r>
    </w:p>
    <w:p w14:paraId="21EDB93C" w14:textId="77777777" w:rsidR="002C0C56" w:rsidRPr="007D20FB" w:rsidRDefault="002C0C56"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Vývoj Raiffeisenbank a.s. v České republice od roku 1993</w:t>
      </w:r>
    </w:p>
    <w:p w14:paraId="37E80153" w14:textId="05F0B5BE"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 xml:space="preserve">1993: </w:t>
      </w:r>
      <w:r w:rsidR="00EB6B41">
        <w:rPr>
          <w:rFonts w:cs="Times New Roman"/>
          <w:color w:val="000000" w:themeColor="text1"/>
        </w:rPr>
        <w:t>Raiffeisenbank a.s.</w:t>
      </w:r>
      <w:r w:rsidRPr="00865B3C">
        <w:rPr>
          <w:rFonts w:cs="Times New Roman"/>
          <w:color w:val="000000" w:themeColor="text1"/>
        </w:rPr>
        <w:t xml:space="preserve"> získává bankovní licenci od ČNB, první pobočka v Českých Budějovicích, centrála v Praze na Vodičkově. Aktiva: 1,7 miliardy korun. Počet zaměstnanců: 39.</w:t>
      </w:r>
    </w:p>
    <w:p w14:paraId="1D6F5A5E" w14:textId="646057B3"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1999: Začátek poskytování hypoték</w:t>
      </w:r>
      <w:r w:rsidR="002A36E7">
        <w:rPr>
          <w:rFonts w:cs="Times New Roman"/>
          <w:color w:val="000000" w:themeColor="text1"/>
        </w:rPr>
        <w:t xml:space="preserve"> jako j</w:t>
      </w:r>
      <w:r w:rsidRPr="00865B3C">
        <w:rPr>
          <w:rFonts w:cs="Times New Roman"/>
          <w:color w:val="000000" w:themeColor="text1"/>
        </w:rPr>
        <w:t>edna z nejsilnějších hypotečních bank</w:t>
      </w:r>
      <w:r w:rsidR="002A36E7">
        <w:rPr>
          <w:rFonts w:cs="Times New Roman"/>
          <w:color w:val="000000" w:themeColor="text1"/>
        </w:rPr>
        <w:t>.</w:t>
      </w:r>
    </w:p>
    <w:p w14:paraId="53EA842A" w14:textId="24DB66F7"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2001: Expa</w:t>
      </w:r>
      <w:r w:rsidR="002A36E7">
        <w:rPr>
          <w:rFonts w:cs="Times New Roman"/>
          <w:color w:val="000000" w:themeColor="text1"/>
        </w:rPr>
        <w:t>nze do retailového bankovnictví a</w:t>
      </w:r>
      <w:r w:rsidRPr="00865B3C">
        <w:rPr>
          <w:rFonts w:cs="Times New Roman"/>
          <w:color w:val="000000" w:themeColor="text1"/>
        </w:rPr>
        <w:t xml:space="preserve"> spuštění internetového bankovnictví. Počet klientů se blíží hranici 100 tisíc.</w:t>
      </w:r>
    </w:p>
    <w:p w14:paraId="4DEFE509" w14:textId="0E2152C4"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 xml:space="preserve">2005 – 2006: Raiffeisenbank </w:t>
      </w:r>
      <w:r w:rsidR="00EB6B41">
        <w:rPr>
          <w:rFonts w:cs="Times New Roman"/>
          <w:color w:val="000000" w:themeColor="text1"/>
        </w:rPr>
        <w:t xml:space="preserve">a.s. </w:t>
      </w:r>
      <w:r w:rsidRPr="00865B3C">
        <w:rPr>
          <w:rFonts w:cs="Times New Roman"/>
          <w:color w:val="000000" w:themeColor="text1"/>
        </w:rPr>
        <w:t>kupuje eBanku, původním názvem Expandia Banka se zaměřením na internetové bankovnictví. Zvyšuje počet klientů a zdvojnásobuje obchodní síť.</w:t>
      </w:r>
    </w:p>
    <w:p w14:paraId="32208464" w14:textId="77777777"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2008: Zisk prvního titulu „Banka roku 2008“ v prestižní domácí anketě MasterCard, ocenění pro nejlepší banku v ČR od renomovaného časopisu Global Finance.</w:t>
      </w:r>
    </w:p>
    <w:p w14:paraId="6B88AC7A" w14:textId="4AC8E07D"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lastRenderedPageBreak/>
        <w:t xml:space="preserve">2010: Expanze pobočkové sítě, jejich počet přesahuje 120. Počtvrté za pět let je Raiffeisenbank </w:t>
      </w:r>
      <w:r w:rsidR="00EB6B41">
        <w:rPr>
          <w:rFonts w:cs="Times New Roman"/>
          <w:color w:val="000000" w:themeColor="text1"/>
        </w:rPr>
        <w:t xml:space="preserve">a.s. </w:t>
      </w:r>
      <w:r w:rsidRPr="00865B3C">
        <w:rPr>
          <w:rFonts w:cs="Times New Roman"/>
          <w:color w:val="000000" w:themeColor="text1"/>
        </w:rPr>
        <w:t>„Nejdynamičtější bankou roku</w:t>
      </w:r>
      <w:r w:rsidR="002A36E7">
        <w:rPr>
          <w:rFonts w:cs="Times New Roman"/>
          <w:color w:val="000000" w:themeColor="text1"/>
        </w:rPr>
        <w:t>“.</w:t>
      </w:r>
    </w:p>
    <w:p w14:paraId="754DB2C3" w14:textId="77777777"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2011: Spuštění nového konceptu privátního bankovnictví pod značkou Friedrich Wilhelm Raiffeisen (FWR), který odkazuje na zakladatele skupiny Raiffeisen. FWR přináší na trh ojedinělé služby, např. otevřenou architekturu, nadstandardní investiční poradenství či celosvětově nejprestižnější kreditní kartu MC World Elite.</w:t>
      </w:r>
    </w:p>
    <w:p w14:paraId="00CA7FD1" w14:textId="7335FC5D"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2014: R</w:t>
      </w:r>
      <w:r w:rsidR="00EB6B41">
        <w:rPr>
          <w:rFonts w:cs="Times New Roman"/>
          <w:color w:val="000000" w:themeColor="text1"/>
        </w:rPr>
        <w:t xml:space="preserve">aiffeisenbank a.s. </w:t>
      </w:r>
      <w:r w:rsidRPr="00865B3C">
        <w:rPr>
          <w:rFonts w:cs="Times New Roman"/>
          <w:color w:val="000000" w:themeColor="text1"/>
        </w:rPr>
        <w:t xml:space="preserve">Vydává kreditní karty s bezkontaktní technologií. Při platbách na internetu mohou klienti využívat 3D Secure autentizaci. </w:t>
      </w:r>
    </w:p>
    <w:p w14:paraId="649B51F1" w14:textId="77777777"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 xml:space="preserve">2016: 135 poboček, 3100 zaměstnanců. Akvizice retailové části Citibank. Raiffeisenbank se dle hodnocení ČNB stala strategicky významnou bankou. </w:t>
      </w:r>
    </w:p>
    <w:p w14:paraId="35A366CA" w14:textId="391752E8"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2017: R</w:t>
      </w:r>
      <w:r w:rsidR="00EB6B41">
        <w:rPr>
          <w:rFonts w:cs="Times New Roman"/>
          <w:color w:val="000000" w:themeColor="text1"/>
        </w:rPr>
        <w:t>aiffeisenbank a.s.</w:t>
      </w:r>
      <w:r w:rsidRPr="00865B3C">
        <w:rPr>
          <w:rFonts w:cs="Times New Roman"/>
          <w:color w:val="000000" w:themeColor="text1"/>
        </w:rPr>
        <w:t xml:space="preserve"> jako první banka v Česku nabízí zúčtovací služby (clearing) pro obchodování na burze Nasdaq Commodities. Nabytí všech aktiv a pasiv české pobočky ZUNO BANK AG.</w:t>
      </w:r>
    </w:p>
    <w:p w14:paraId="58AB1DDC" w14:textId="418D8037"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 xml:space="preserve">2018: Raiffeisenbank </w:t>
      </w:r>
      <w:r w:rsidR="00EB6B41">
        <w:rPr>
          <w:rFonts w:cs="Times New Roman"/>
          <w:color w:val="000000" w:themeColor="text1"/>
        </w:rPr>
        <w:t xml:space="preserve">a.s. </w:t>
      </w:r>
      <w:r w:rsidRPr="00865B3C">
        <w:rPr>
          <w:rFonts w:cs="Times New Roman"/>
          <w:color w:val="000000" w:themeColor="text1"/>
        </w:rPr>
        <w:t>oslavuje 25 let půs</w:t>
      </w:r>
      <w:r w:rsidR="00156528">
        <w:rPr>
          <w:rFonts w:cs="Times New Roman"/>
          <w:color w:val="000000" w:themeColor="text1"/>
        </w:rPr>
        <w:t>obení na českém bankovním trhu spravující</w:t>
      </w:r>
      <w:r w:rsidRPr="00865B3C">
        <w:rPr>
          <w:rFonts w:cs="Times New Roman"/>
          <w:color w:val="000000" w:themeColor="text1"/>
        </w:rPr>
        <w:t xml:space="preserve"> na 380 miliard korun aktiv. </w:t>
      </w:r>
      <w:r w:rsidR="00156528">
        <w:rPr>
          <w:rFonts w:cs="Times New Roman"/>
          <w:color w:val="000000" w:themeColor="text1"/>
        </w:rPr>
        <w:t>Banka</w:t>
      </w:r>
      <w:r w:rsidRPr="00865B3C">
        <w:rPr>
          <w:rFonts w:cs="Times New Roman"/>
          <w:color w:val="000000" w:themeColor="text1"/>
        </w:rPr>
        <w:t xml:space="preserve"> disponuje 128 pobočkami a zaměstnává přes 3000 lidí.</w:t>
      </w:r>
    </w:p>
    <w:p w14:paraId="60C2580A" w14:textId="2EAAF8F6" w:rsidR="002C0C56" w:rsidRPr="00865B3C" w:rsidRDefault="002C0C56"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 xml:space="preserve">2020: </w:t>
      </w:r>
      <w:r w:rsidR="00BA322A">
        <w:rPr>
          <w:rFonts w:cs="Times New Roman"/>
          <w:color w:val="000000" w:themeColor="text1"/>
        </w:rPr>
        <w:t xml:space="preserve">Raiffeisenbank a.s. </w:t>
      </w:r>
      <w:r w:rsidRPr="00865B3C">
        <w:rPr>
          <w:rFonts w:cs="Times New Roman"/>
          <w:color w:val="000000" w:themeColor="text1"/>
        </w:rPr>
        <w:t xml:space="preserve">pokračuje v digitalizaci svých služeb. Klienti mohou až 95 % úkonů při správě svých financí dělat pohodlně z domova. To se hodilo především v období vypuknutí COVID 19. </w:t>
      </w:r>
    </w:p>
    <w:p w14:paraId="1AB86C26" w14:textId="77777777" w:rsidR="002C0C56" w:rsidRPr="00865B3C" w:rsidRDefault="002C0C56" w:rsidP="00856149">
      <w:pPr>
        <w:spacing w:line="276" w:lineRule="auto"/>
        <w:jc w:val="both"/>
        <w:rPr>
          <w:rFonts w:cs="Times New Roman"/>
        </w:rPr>
      </w:pPr>
    </w:p>
    <w:p w14:paraId="3019B297" w14:textId="7BB0A376" w:rsidR="00A6115E" w:rsidRDefault="00A6115E" w:rsidP="00856149">
      <w:pPr>
        <w:pStyle w:val="Heading2"/>
        <w:spacing w:line="276" w:lineRule="auto"/>
        <w:jc w:val="both"/>
        <w:rPr>
          <w:rFonts w:cs="Times New Roman"/>
        </w:rPr>
      </w:pPr>
      <w:bookmarkStart w:id="21" w:name="_Toc46755372"/>
      <w:r w:rsidRPr="00865B3C">
        <w:rPr>
          <w:rFonts w:cs="Times New Roman"/>
        </w:rPr>
        <w:t>Vlastnická struktura Emitenta</w:t>
      </w:r>
      <w:bookmarkEnd w:id="21"/>
    </w:p>
    <w:p w14:paraId="427BDCA1" w14:textId="77777777" w:rsidR="00C4331A" w:rsidRPr="00C4331A" w:rsidRDefault="00C4331A" w:rsidP="00C4331A"/>
    <w:p w14:paraId="74A645A2" w14:textId="4012E85B" w:rsidR="00517C82" w:rsidRDefault="00C4331A" w:rsidP="00856149">
      <w:pPr>
        <w:spacing w:line="276" w:lineRule="auto"/>
        <w:jc w:val="both"/>
        <w:rPr>
          <w:rFonts w:cs="Times New Roman"/>
        </w:rPr>
      </w:pPr>
      <w:r>
        <w:rPr>
          <w:rFonts w:cs="Times New Roman"/>
        </w:rPr>
        <w:t xml:space="preserve">Vlastnická struktura Emitenta je součástí přílohy číslo </w:t>
      </w:r>
      <w:r w:rsidR="00084FCF">
        <w:rPr>
          <w:rFonts w:cs="Times New Roman"/>
        </w:rPr>
        <w:t>1</w:t>
      </w:r>
      <w:r>
        <w:rPr>
          <w:rFonts w:cs="Times New Roman"/>
        </w:rPr>
        <w:t>.</w:t>
      </w:r>
    </w:p>
    <w:p w14:paraId="3CC03CA7" w14:textId="77777777" w:rsidR="00C4331A" w:rsidRPr="00865B3C" w:rsidRDefault="00C4331A" w:rsidP="00856149">
      <w:pPr>
        <w:spacing w:line="276" w:lineRule="auto"/>
        <w:jc w:val="both"/>
        <w:rPr>
          <w:rFonts w:cs="Times New Roman"/>
        </w:rPr>
      </w:pPr>
    </w:p>
    <w:p w14:paraId="4447E326" w14:textId="22995B6E" w:rsidR="00A6115E" w:rsidRPr="00865B3C" w:rsidRDefault="00A6115E" w:rsidP="00856149">
      <w:pPr>
        <w:pStyle w:val="Heading2"/>
        <w:spacing w:line="276" w:lineRule="auto"/>
        <w:jc w:val="both"/>
        <w:rPr>
          <w:rFonts w:cs="Times New Roman"/>
        </w:rPr>
      </w:pPr>
      <w:bookmarkStart w:id="22" w:name="_Toc46755373"/>
      <w:r w:rsidRPr="00865B3C">
        <w:rPr>
          <w:rFonts w:cs="Times New Roman"/>
        </w:rPr>
        <w:t>Obchodní záměr Emitenta</w:t>
      </w:r>
      <w:bookmarkEnd w:id="22"/>
    </w:p>
    <w:p w14:paraId="70555630" w14:textId="77777777" w:rsidR="00BE7347" w:rsidRPr="00865B3C" w:rsidRDefault="00BE7347" w:rsidP="00856149">
      <w:pPr>
        <w:spacing w:line="276" w:lineRule="auto"/>
        <w:jc w:val="both"/>
        <w:rPr>
          <w:rFonts w:cs="Times New Roman"/>
        </w:rPr>
      </w:pPr>
    </w:p>
    <w:p w14:paraId="3D4748B8" w14:textId="4D7A2AC1" w:rsidR="005768E5" w:rsidRPr="00865B3C" w:rsidRDefault="005768E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má obchodní záměr nabídnout kryté dluhopisy zejména České národní bance a to prodejem </w:t>
      </w:r>
      <w:r w:rsidR="00EB6B41">
        <w:rPr>
          <w:rFonts w:cs="Times New Roman"/>
          <w:color w:val="000000" w:themeColor="text1"/>
        </w:rPr>
        <w:t>K</w:t>
      </w:r>
      <w:r w:rsidRPr="00865B3C">
        <w:rPr>
          <w:rFonts w:cs="Times New Roman"/>
          <w:color w:val="000000" w:themeColor="text1"/>
        </w:rPr>
        <w:t>rytých dluhopisů proti obdržení kupní ceny, zejména prostřednictvím tzv. repo operací.</w:t>
      </w:r>
    </w:p>
    <w:p w14:paraId="3E01374A" w14:textId="5904BDCB" w:rsidR="006A7025" w:rsidRDefault="00DB578E"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Emitent neplánuje využít získané peněžní prostředky za převod </w:t>
      </w:r>
      <w:r w:rsidR="00602BE6">
        <w:rPr>
          <w:rFonts w:cs="Times New Roman"/>
          <w:color w:val="000000" w:themeColor="text1"/>
        </w:rPr>
        <w:t>K</w:t>
      </w:r>
      <w:r w:rsidRPr="00865B3C">
        <w:rPr>
          <w:rFonts w:cs="Times New Roman"/>
          <w:color w:val="000000" w:themeColor="text1"/>
        </w:rPr>
        <w:t>rytých dluhopisů pro expanzi do zahraničí.</w:t>
      </w:r>
    </w:p>
    <w:p w14:paraId="62DB2125" w14:textId="0B938041" w:rsidR="007D20FB" w:rsidRPr="00865B3C" w:rsidRDefault="006A7025" w:rsidP="00856149">
      <w:pPr>
        <w:pStyle w:val="ListParagraph"/>
        <w:tabs>
          <w:tab w:val="left" w:pos="824"/>
          <w:tab w:val="left" w:pos="825"/>
        </w:tabs>
        <w:spacing w:line="276" w:lineRule="auto"/>
        <w:ind w:left="0"/>
        <w:contextualSpacing w:val="0"/>
        <w:jc w:val="both"/>
        <w:rPr>
          <w:rFonts w:cs="Times New Roman"/>
          <w:b/>
        </w:rPr>
      </w:pPr>
      <w:r w:rsidRPr="00865B3C">
        <w:rPr>
          <w:rFonts w:cs="Times New Roman"/>
          <w:b/>
        </w:rPr>
        <w:t>Identifikace relevantního trhu</w:t>
      </w:r>
    </w:p>
    <w:p w14:paraId="08181542" w14:textId="77777777" w:rsidR="006A7025" w:rsidRPr="00865B3C" w:rsidRDefault="006A702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 xml:space="preserve">Česká republika se globálně řadí mezi země ekonomicky vyspělé, v rámci Evropy pak patří zhruba k průměru, přičemž mírně zaostává za státy západoevropskými, ovšem vyniká v rámci zemí bývalého východního bloku. Ekonomika České republiky je charakteristická svou otevřeností mezinárodnímu obchodu (objem přeshraničního obchodu je na úrovni 150 % HDP) a průmyslovou orientací (podíl průmyslu na celkové přidané hodnotě je přes 31 %). Dominantním průmyslovým sektorem je pak výroba motorových vozidel a přidružená odvětví. Z makroekonomického pohledu prochází Česká republika příznivým obdobím. Veřejné zadlužení je mírně nad 30 % HDP, spotřebitelská inflace se pohybuje poblíž dvouprocentního cíle centrální banky, volně plovoucí měnový kurz české koruny vykazuje nízkou volatilitu a ekonomická úroveň se průběžně přibližuje západoevropskému standardu. V zemi panuje stabilní politické prostředí, které je posíleno ukotvením ve strukturách Evropské unie a Severoatlantické aliance. </w:t>
      </w:r>
    </w:p>
    <w:p w14:paraId="1EF43F59" w14:textId="77777777" w:rsidR="006A7025" w:rsidRPr="00865B3C" w:rsidRDefault="006A702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lastRenderedPageBreak/>
        <w:t>Stejně jako prakticky všechny ostatní, byla i česká ekonomika v roce 2020 zasažena pandemií koronaviru a restriktivními opatřeními přijatými za účelem jejího potlačení. Na ekonomickém výkonu se tak negativně podepsalo hned několik vlivů od narušení dodavatelsko-odběratelských řetězců, přes absence zaměstnanců, až po nucené uzavírky celých provozů. Již první čtvrtletí letošního roku, které bylo přitom omezeními zasaženo jen v několika závěrečných týdnech, tak přineslo meziročního pokles českého HDP o 2 %, čímž ukončilo předchozí několikaleté období robustního hospodářského růstu. Českou republiku tato událost naštěstí zastihla v dobré makroekonomické kondici – příjmy domácností předtím soustavně narůstaly díky téměř nulové nezaměstnanosti, finanční sektor byl stabilní a kapitálově vybaven a veřejné zadlužení patřilo k nejnižším v Evropě. Ačkoliv se tak česká ekonomika negativním dopadům pandemie nevyhne, vyhlídky pro její brzké zotavení jsou v rámci vyspělých zemí nadstandardně dobré.</w:t>
      </w:r>
    </w:p>
    <w:p w14:paraId="4B7C71FF" w14:textId="751C91E4" w:rsidR="00BE7347" w:rsidRPr="00865B3C" w:rsidRDefault="006A7025" w:rsidP="00856149">
      <w:pPr>
        <w:tabs>
          <w:tab w:val="left" w:pos="824"/>
          <w:tab w:val="left" w:pos="825"/>
        </w:tabs>
        <w:spacing w:before="1" w:line="276" w:lineRule="auto"/>
        <w:jc w:val="both"/>
        <w:rPr>
          <w:rFonts w:cs="Times New Roman"/>
          <w:color w:val="000000" w:themeColor="text1"/>
        </w:rPr>
      </w:pPr>
      <w:r w:rsidRPr="00865B3C">
        <w:rPr>
          <w:rFonts w:cs="Times New Roman"/>
          <w:color w:val="000000" w:themeColor="text1"/>
        </w:rPr>
        <w:t>Nejslabším obdobím zřejmě bylo druhé čtvrtletí roku 2020, kdy lze předpokládat dvouciferný pokles HDP. S ním se nevyhnutelně bude pojit i nárůst nezaměstnanosti a pokles mzdové dynamiky. Snížená koupěschopnost českých domácností spolu s rostoucími obavami o budoucnost pak povedou k poklesům tržeb a objemů výroby. Český průmysl bude navíc zasažen i snížením zahraniční poptávky. Ačkoliv by se tak druhá polovina roku 2020 již měla nést ve znamení hospodářského oživení, návrat na předkrizovou úroveň očekávat nelze. K němu bude zapotřebí i úspěšného roku 2021, kdy ovšem skutečně lze předpokládat citelné zlepšení ekonomické situace. K definitivnímu zotavení z pandemického šoku by pak mělo dojít v roce 2022 a podle dostupných dat by pak Česká republika měla pokračovat na předchozí růstové trajektorii.</w:t>
      </w:r>
    </w:p>
    <w:p w14:paraId="24B34B65" w14:textId="77777777" w:rsidR="006A7025" w:rsidRPr="00865B3C" w:rsidRDefault="006A7025" w:rsidP="00856149">
      <w:pPr>
        <w:tabs>
          <w:tab w:val="left" w:pos="824"/>
          <w:tab w:val="left" w:pos="825"/>
        </w:tabs>
        <w:spacing w:before="1" w:line="276" w:lineRule="auto"/>
        <w:jc w:val="both"/>
        <w:rPr>
          <w:rFonts w:cs="Times New Roman"/>
          <w:color w:val="000000" w:themeColor="text1"/>
        </w:rPr>
      </w:pPr>
    </w:p>
    <w:p w14:paraId="6B7FABF4" w14:textId="68830713" w:rsidR="00E23C09" w:rsidRDefault="00E23C09" w:rsidP="007D20FB">
      <w:pPr>
        <w:pStyle w:val="Heading2"/>
        <w:spacing w:line="276" w:lineRule="auto"/>
        <w:jc w:val="both"/>
        <w:rPr>
          <w:rFonts w:cs="Times New Roman"/>
        </w:rPr>
      </w:pPr>
      <w:bookmarkStart w:id="23" w:name="_Toc46755374"/>
      <w:r w:rsidRPr="007D20FB">
        <w:rPr>
          <w:rFonts w:cs="Times New Roman"/>
        </w:rPr>
        <w:t>Přehled klíčový zaměstnanců</w:t>
      </w:r>
      <w:bookmarkEnd w:id="23"/>
    </w:p>
    <w:p w14:paraId="05B35C3E" w14:textId="77777777" w:rsidR="007D20FB" w:rsidRPr="007D20FB" w:rsidRDefault="007D20FB" w:rsidP="007D20FB"/>
    <w:p w14:paraId="1BF4A98D" w14:textId="77777777" w:rsidR="00E23C09" w:rsidRPr="007D20FB" w:rsidRDefault="00E23C09"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Ing. Igor Vida</w:t>
      </w:r>
    </w:p>
    <w:p w14:paraId="14194E15" w14:textId="77777777" w:rsidR="006C0FF5" w:rsidRPr="00865B3C" w:rsidRDefault="006C0FF5"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Igor Vida je generálním ředitelem od dubna 2015, předtím strávil více než 20 let ve slovenské Tatrabance. Vystudoval Elektrotechnickou fakultu Slovenské technické univerzity a následně General Management Program na Harvard Business School. Kariéru v Tatrabance zahájil v roce 1992 jako vedoucí oddělení peněžních a devizových trhů. Poté působil jako ředitel odboru treasury a investičního bankovnictví. Členem představenstva je od roku 1997 a od roku 2007 generálním ředitelem a předsedou představenstva Tatrabanky. Igor Vida je držitelem několika manažerských ocenění, např. Manažer roku na Slovensku (časopis Trend, 2008), Cena HR Gold osobnost personálního managementu (2013) či ocenění Forbes a PwC jako nejrespektovanější CEO roku 2014.</w:t>
      </w:r>
    </w:p>
    <w:p w14:paraId="739983AD" w14:textId="77777777" w:rsidR="00E23C09" w:rsidRPr="007D20FB" w:rsidRDefault="00E23C09"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Ing. František Ježek</w:t>
      </w:r>
    </w:p>
    <w:p w14:paraId="635D6B3F" w14:textId="77777777" w:rsidR="006C0FF5" w:rsidRPr="00865B3C" w:rsidRDefault="006C0FF5"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Členem představenstva zodpovědným za oblast Corporate. Od října 2012 do května 2017 byl odpovědný za řízení rizik. Před nástupem do Raiffeisenbank působil ve vídeňské centrále Raiffeisen Bank International jako šéf retailového risku pro všech 15 trhů v regionu střední a východní Evropy.  Před nástupem do RBI působil František Ježek mj. v Multiservisu a skupině GE Money.</w:t>
      </w:r>
    </w:p>
    <w:p w14:paraId="1666EA46" w14:textId="77777777" w:rsidR="006C0FF5" w:rsidRPr="007D20FB" w:rsidRDefault="006C0FF5"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Ing. Vladimír Matouš</w:t>
      </w:r>
    </w:p>
    <w:p w14:paraId="053644BE" w14:textId="77777777" w:rsidR="00E23C09" w:rsidRPr="00865B3C" w:rsidRDefault="006C0FF5"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 xml:space="preserve">S účinností od 1. července 2018 se novým členem představenstva Raiffeisenbank stal Vladimír Matouš, který je odpovědný za oblast řízení IT. Vladimír Matouš do Raiffeisenbank přišel z pozice člena představenstva Tatra banky, kde měl od roku 2010 rovněž na starosti IT divizi. Předtím pracoval pro společnost T-Systems a byl zde zodpovědný za organizační a funkční integraci technologických divizí v oblasti IT a telekomunikací. Působil také ve společnosti T-Mobile jako ředitel technologického </w:t>
      </w:r>
      <w:r w:rsidRPr="00865B3C">
        <w:rPr>
          <w:rFonts w:cs="Times New Roman"/>
          <w:color w:val="000000" w:themeColor="text1"/>
        </w:rPr>
        <w:lastRenderedPageBreak/>
        <w:t>provozu se zodpovědností za telekomunikační a IT technologie. Má rovněž mnohaleté zkušenosti v oblasti řízení projektů, a to například na poli bankovních systémů, CRM či outsourcingu.</w:t>
      </w:r>
    </w:p>
    <w:p w14:paraId="79863F01" w14:textId="77777777" w:rsidR="00E23C09" w:rsidRPr="007D20FB" w:rsidRDefault="00E23C09"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PhDr. Vladimír Kreidl Msc.</w:t>
      </w:r>
    </w:p>
    <w:p w14:paraId="2E2C0A64" w14:textId="77777777" w:rsidR="00E23C09" w:rsidRPr="00865B3C" w:rsidRDefault="006C0FF5"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Člen představenstva a výkonný ředitel zodpovědný za oblast Retailového bankovnictví od 1. října 2013. Před nástupem do Raiffeisenbank a.s. působil od roku 2001 ve společnosti McKinsey&amp;Company, z toho od r. 2008 jako partner. V letech 1995 - 2000 pracoval v Patria Finance, a.s., naposledy jako partner.</w:t>
      </w:r>
    </w:p>
    <w:p w14:paraId="4EB36942" w14:textId="77777777" w:rsidR="00E23C09" w:rsidRPr="007D20FB" w:rsidRDefault="00E23C09"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Ing. Miloš Matula</w:t>
      </w:r>
    </w:p>
    <w:p w14:paraId="53D9F971" w14:textId="77777777" w:rsidR="006C0FF5" w:rsidRPr="00865B3C" w:rsidRDefault="006C0FF5"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Člen představenstva a výkonný ředitel zodpovědný za oblast Operations od 1. 1. 2014. Před nástupem do Raiffeisenbank a.s. působil od roku 2009 jako člen představenstva ZUNO BANK AG. V letech 2007 - 2009 pracoval v mateřské společnosti Raiffeisen Bank International AG na pozici Head of service excellence.</w:t>
      </w:r>
    </w:p>
    <w:p w14:paraId="6E5BDAF3" w14:textId="77777777" w:rsidR="006C0FF5" w:rsidRPr="007D20FB" w:rsidRDefault="006C0FF5"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Mag. Dr. Martin Stotter</w:t>
      </w:r>
    </w:p>
    <w:p w14:paraId="54EB8EFE" w14:textId="77777777" w:rsidR="006C0FF5" w:rsidRPr="00865B3C" w:rsidRDefault="006C0FF5"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 xml:space="preserve">S účinností od 15. dubna 2018 se novým členem představenstva Raiffeisenbank stal Martin Stotter, který je zodpovědný za oblast řízení rizik. Martin Stotter (41) absolvoval matematické gymnázium a poté univerzitu ve Štýrském Hradci, kde v roce 2002 získal titul doktor práv. Studoval rovněž na univerzitě Alcalá de Henares ve Španělsku. Pro skupinu Raiffeisen Bank International (RBI) pracuje již více než patnáct let, a to jak v domovském Rakousku, tak i například v Srbsku či Slovinsku. Před příchodem do Raiffeisenbank zastával pozici CRO a člena představenstva Raiffeisen banky a.d. v Bělehradě. Martin Stotter hovoří německy, anglicky, španělsky a srbsky. Mezi jeho koníčky patří sport, historie a cestování. </w:t>
      </w:r>
    </w:p>
    <w:p w14:paraId="129EA401" w14:textId="77777777" w:rsidR="006C0FF5" w:rsidRPr="007D20FB" w:rsidRDefault="006C0FF5" w:rsidP="00856149">
      <w:pPr>
        <w:pStyle w:val="ListParagraph"/>
        <w:tabs>
          <w:tab w:val="left" w:pos="824"/>
          <w:tab w:val="left" w:pos="825"/>
        </w:tabs>
        <w:spacing w:line="276" w:lineRule="auto"/>
        <w:ind w:left="0"/>
        <w:contextualSpacing w:val="0"/>
        <w:jc w:val="both"/>
        <w:rPr>
          <w:rFonts w:cs="Times New Roman"/>
          <w:b/>
          <w:color w:val="000000" w:themeColor="text1"/>
        </w:rPr>
      </w:pPr>
      <w:r w:rsidRPr="007D20FB">
        <w:rPr>
          <w:rFonts w:cs="Times New Roman"/>
          <w:b/>
          <w:color w:val="000000" w:themeColor="text1"/>
        </w:rPr>
        <w:t xml:space="preserve">Tomáš Jelínek </w:t>
      </w:r>
    </w:p>
    <w:p w14:paraId="6B06678B" w14:textId="4CE65F0F" w:rsidR="006C0FF5" w:rsidRDefault="006C0FF5" w:rsidP="00856149">
      <w:pPr>
        <w:pStyle w:val="ListParagraph"/>
        <w:tabs>
          <w:tab w:val="left" w:pos="824"/>
          <w:tab w:val="left" w:pos="825"/>
        </w:tabs>
        <w:spacing w:line="276" w:lineRule="auto"/>
        <w:ind w:left="0"/>
        <w:contextualSpacing w:val="0"/>
        <w:jc w:val="both"/>
        <w:rPr>
          <w:rFonts w:cs="Times New Roman"/>
          <w:color w:val="000000" w:themeColor="text1"/>
        </w:rPr>
      </w:pPr>
      <w:r w:rsidRPr="00865B3C">
        <w:rPr>
          <w:rFonts w:cs="Times New Roman"/>
          <w:color w:val="000000" w:themeColor="text1"/>
        </w:rPr>
        <w:t>Členem představenstva odpovědným za oblast Markets &amp; Investment Banking je Tomáš Jelínek od 1. ledna 2020. Svou profesní kariéru v bankovnictví zahájil v roce 2000 v Citibank a od roku 2005 je členem týmu Raiffeisenbank. Začínal jako Head of Retail Risk Department, následně působil na pozicích Head of Retail Risk and Credit Portfolio Management a Chief Financial Officer. Dva roky pracoval také pro mateřskou RBI jako Head of Collection Program.</w:t>
      </w:r>
    </w:p>
    <w:p w14:paraId="3CD9A68E" w14:textId="77777777" w:rsidR="007D20FB" w:rsidRPr="00865B3C" w:rsidRDefault="007D20FB" w:rsidP="00856149">
      <w:pPr>
        <w:pStyle w:val="ListParagraph"/>
        <w:tabs>
          <w:tab w:val="left" w:pos="824"/>
          <w:tab w:val="left" w:pos="825"/>
        </w:tabs>
        <w:spacing w:line="276" w:lineRule="auto"/>
        <w:ind w:left="0"/>
        <w:contextualSpacing w:val="0"/>
        <w:jc w:val="both"/>
        <w:rPr>
          <w:rFonts w:cs="Times New Roman"/>
          <w:color w:val="000000" w:themeColor="text1"/>
        </w:rPr>
      </w:pPr>
    </w:p>
    <w:p w14:paraId="7A4DC794" w14:textId="4725CAA2" w:rsidR="00E23C09" w:rsidRDefault="00E23C09" w:rsidP="007D20FB">
      <w:pPr>
        <w:pStyle w:val="Heading2"/>
        <w:spacing w:line="276" w:lineRule="auto"/>
        <w:jc w:val="both"/>
        <w:rPr>
          <w:rFonts w:cs="Times New Roman"/>
        </w:rPr>
      </w:pPr>
      <w:bookmarkStart w:id="24" w:name="_Toc46755375"/>
      <w:r w:rsidRPr="00865B3C">
        <w:rPr>
          <w:rFonts w:cs="Times New Roman"/>
        </w:rPr>
        <w:t>Informace o právních sporech emitenta</w:t>
      </w:r>
      <w:bookmarkEnd w:id="24"/>
    </w:p>
    <w:p w14:paraId="0FDB8DA2" w14:textId="77777777" w:rsidR="007D20FB" w:rsidRPr="007D20FB" w:rsidRDefault="007D20FB" w:rsidP="007D20FB"/>
    <w:p w14:paraId="14EE84E2" w14:textId="5605D68D" w:rsidR="00E23C09" w:rsidRDefault="00E23C09" w:rsidP="00602BE6">
      <w:pPr>
        <w:tabs>
          <w:tab w:val="left" w:pos="824"/>
          <w:tab w:val="left" w:pos="825"/>
        </w:tabs>
        <w:spacing w:line="276" w:lineRule="auto"/>
        <w:jc w:val="both"/>
        <w:rPr>
          <w:rFonts w:cs="Times New Roman"/>
        </w:rPr>
      </w:pPr>
      <w:r w:rsidRPr="00602BE6">
        <w:rPr>
          <w:rFonts w:cs="Times New Roman"/>
        </w:rPr>
        <w:t xml:space="preserve">Emitent vede k 30. 6. 2020 pasivní soudní spory ve výši zažalovaných pohledávek v částce </w:t>
      </w:r>
      <w:r w:rsidR="00602BE6" w:rsidRPr="00602BE6">
        <w:rPr>
          <w:rFonts w:cs="Times New Roman"/>
        </w:rPr>
        <w:t xml:space="preserve">99 046 524,67 Kč.  </w:t>
      </w:r>
      <w:r w:rsidRPr="00865B3C">
        <w:rPr>
          <w:rFonts w:cs="Times New Roman"/>
        </w:rPr>
        <w:t>Z hlediska výše požadované pohledávky jsou nejvýznamnější dva pasivní soudní spory s Danuší Korczynskou týkající se sporu o využívání software, který emitent v minulosti využíval a již nevyžívá. Výše zažalovaných pohledávek v obou sporech celkem činí částku 62 000 000,- Kč. Emitent vede rovněž aktivní soudní spory týkající se převážně vymáhaných úvěrových pohledávek. Z hlediska vymáhané jistiny je nejvýznamnější přihláška pohledávky ve výši částky 101 124 756,11 Kč v insolvenčním řízení klienta ELMO-PLAST, a.s.</w:t>
      </w:r>
    </w:p>
    <w:p w14:paraId="2925CCA6" w14:textId="77777777" w:rsidR="006B575B" w:rsidRPr="00865B3C" w:rsidRDefault="006B575B" w:rsidP="00856149">
      <w:pPr>
        <w:pStyle w:val="ListParagraph"/>
        <w:tabs>
          <w:tab w:val="left" w:pos="824"/>
          <w:tab w:val="left" w:pos="825"/>
        </w:tabs>
        <w:spacing w:line="276" w:lineRule="auto"/>
        <w:ind w:left="0"/>
        <w:contextualSpacing w:val="0"/>
        <w:jc w:val="both"/>
        <w:rPr>
          <w:rFonts w:cs="Times New Roman"/>
        </w:rPr>
      </w:pPr>
    </w:p>
    <w:p w14:paraId="57A9E9AF" w14:textId="1FCCD4DD" w:rsidR="006A7025" w:rsidRPr="00865B3C" w:rsidRDefault="006A7025" w:rsidP="00856149">
      <w:pPr>
        <w:pStyle w:val="Heading2"/>
        <w:spacing w:line="276" w:lineRule="auto"/>
        <w:jc w:val="both"/>
        <w:rPr>
          <w:rFonts w:cs="Times New Roman"/>
        </w:rPr>
      </w:pPr>
      <w:bookmarkStart w:id="25" w:name="_Toc46755376"/>
      <w:r w:rsidRPr="00865B3C">
        <w:rPr>
          <w:rFonts w:cs="Times New Roman"/>
        </w:rPr>
        <w:t>Historické finanční výkazy</w:t>
      </w:r>
      <w:bookmarkEnd w:id="25"/>
      <w:r w:rsidR="00602BE6">
        <w:rPr>
          <w:rFonts w:cs="Times New Roman"/>
        </w:rPr>
        <w:t xml:space="preserve"> </w:t>
      </w:r>
    </w:p>
    <w:p w14:paraId="23F07F26" w14:textId="6F240525" w:rsidR="006A7025" w:rsidRDefault="006A7025" w:rsidP="00856149">
      <w:pPr>
        <w:spacing w:line="276" w:lineRule="auto"/>
        <w:jc w:val="both"/>
        <w:rPr>
          <w:rFonts w:cs="Times New Roman"/>
        </w:rPr>
      </w:pPr>
    </w:p>
    <w:p w14:paraId="53E64A36" w14:textId="5389497B" w:rsidR="007265CC" w:rsidRPr="00865B3C" w:rsidRDefault="007265CC" w:rsidP="00856149">
      <w:pPr>
        <w:spacing w:line="276" w:lineRule="auto"/>
        <w:jc w:val="both"/>
        <w:rPr>
          <w:rFonts w:cs="Times New Roman"/>
        </w:rPr>
      </w:pPr>
      <w:r>
        <w:rPr>
          <w:rFonts w:cs="Times New Roman"/>
        </w:rPr>
        <w:lastRenderedPageBreak/>
        <w:t xml:space="preserve">Historické finanční výsledky je taktéž možné nalézt v rámci auditovaných výročních zpráv prostřednictvím odkazu: </w:t>
      </w:r>
      <w:hyperlink r:id="rId14" w:history="1">
        <w:r>
          <w:rPr>
            <w:rStyle w:val="Hyperlink"/>
          </w:rPr>
          <w:t>https://www.rb.cz/o-nas/kdo-jsme/vysledky-hospodareni/vyrocni-zpravy</w:t>
        </w:r>
      </w:hyperlink>
      <w:r>
        <w:t>.</w:t>
      </w:r>
    </w:p>
    <w:tbl>
      <w:tblPr>
        <w:tblW w:w="9782" w:type="dxa"/>
        <w:tblInd w:w="-142" w:type="dxa"/>
        <w:tblLayout w:type="fixed"/>
        <w:tblLook w:val="0000" w:firstRow="0" w:lastRow="0" w:firstColumn="0" w:lastColumn="0" w:noHBand="0" w:noVBand="0"/>
      </w:tblPr>
      <w:tblGrid>
        <w:gridCol w:w="4382"/>
        <w:gridCol w:w="992"/>
        <w:gridCol w:w="426"/>
        <w:gridCol w:w="992"/>
        <w:gridCol w:w="291"/>
        <w:gridCol w:w="283"/>
        <w:gridCol w:w="425"/>
        <w:gridCol w:w="709"/>
        <w:gridCol w:w="142"/>
        <w:gridCol w:w="699"/>
        <w:gridCol w:w="441"/>
      </w:tblGrid>
      <w:tr w:rsidR="00865B3C" w:rsidRPr="00865B3C" w14:paraId="7FD2F29D" w14:textId="77777777" w:rsidTr="00865B3C">
        <w:trPr>
          <w:gridAfter w:val="6"/>
          <w:wAfter w:w="2699" w:type="dxa"/>
        </w:trPr>
        <w:tc>
          <w:tcPr>
            <w:tcW w:w="7083" w:type="dxa"/>
            <w:gridSpan w:val="5"/>
            <w:tcBorders>
              <w:top w:val="nil"/>
              <w:left w:val="nil"/>
              <w:bottom w:val="nil"/>
              <w:right w:val="nil"/>
            </w:tcBorders>
            <w:shd w:val="clear" w:color="auto" w:fill="FFFFFF"/>
            <w:noWrap/>
            <w:vAlign w:val="bottom"/>
          </w:tcPr>
          <w:p w14:paraId="00560A3A" w14:textId="77777777" w:rsidR="00865B3C" w:rsidRPr="00865B3C" w:rsidRDefault="00865B3C" w:rsidP="00856149">
            <w:pPr>
              <w:spacing w:after="0" w:line="276" w:lineRule="auto"/>
              <w:ind w:left="-113" w:right="-1824"/>
              <w:jc w:val="both"/>
              <w:rPr>
                <w:rFonts w:eastAsia="Times New Roman" w:cs="Times New Roman"/>
                <w:b/>
                <w:bCs/>
                <w:color w:val="000000"/>
              </w:rPr>
            </w:pPr>
            <w:r w:rsidRPr="00865B3C">
              <w:rPr>
                <w:rFonts w:eastAsia="Times New Roman" w:cs="Times New Roman"/>
                <w:b/>
                <w:bCs/>
                <w:iCs/>
                <w:color w:val="000000"/>
              </w:rPr>
              <w:t>Výkaz o úplném výsledku</w:t>
            </w:r>
          </w:p>
        </w:tc>
      </w:tr>
      <w:tr w:rsidR="00865B3C" w:rsidRPr="00865B3C" w14:paraId="288E49AE" w14:textId="77777777" w:rsidTr="00865B3C">
        <w:trPr>
          <w:gridAfter w:val="1"/>
          <w:wAfter w:w="441" w:type="dxa"/>
        </w:trPr>
        <w:tc>
          <w:tcPr>
            <w:tcW w:w="4382" w:type="dxa"/>
            <w:tcBorders>
              <w:left w:val="nil"/>
              <w:bottom w:val="single" w:sz="12" w:space="0" w:color="auto"/>
              <w:right w:val="nil"/>
            </w:tcBorders>
            <w:shd w:val="clear" w:color="auto" w:fill="FFFFFF"/>
            <w:noWrap/>
          </w:tcPr>
          <w:p w14:paraId="5AB25CEF" w14:textId="77777777" w:rsidR="00865B3C" w:rsidRPr="00865B3C" w:rsidRDefault="00865B3C" w:rsidP="00856149">
            <w:pPr>
              <w:spacing w:after="0" w:line="276" w:lineRule="auto"/>
              <w:ind w:left="-80"/>
              <w:jc w:val="both"/>
              <w:rPr>
                <w:rFonts w:eastAsia="Times New Roman" w:cs="Times New Roman"/>
                <w:color w:val="000000"/>
                <w:sz w:val="20"/>
                <w:szCs w:val="20"/>
              </w:rPr>
            </w:pPr>
          </w:p>
        </w:tc>
        <w:tc>
          <w:tcPr>
            <w:tcW w:w="992" w:type="dxa"/>
            <w:tcBorders>
              <w:left w:val="nil"/>
              <w:bottom w:val="single" w:sz="12" w:space="0" w:color="auto"/>
              <w:right w:val="nil"/>
            </w:tcBorders>
            <w:shd w:val="clear" w:color="auto" w:fill="FFFFFF"/>
          </w:tcPr>
          <w:p w14:paraId="07A41445" w14:textId="77777777" w:rsidR="00865B3C" w:rsidRPr="00865B3C" w:rsidRDefault="00865B3C" w:rsidP="00856149">
            <w:pPr>
              <w:spacing w:after="0" w:line="276" w:lineRule="auto"/>
              <w:ind w:left="-108" w:right="-28"/>
              <w:jc w:val="both"/>
              <w:rPr>
                <w:rFonts w:eastAsia="Times New Roman" w:cs="Times New Roman"/>
                <w:b/>
                <w:bCs/>
                <w:color w:val="000000"/>
                <w:sz w:val="20"/>
                <w:szCs w:val="20"/>
              </w:rPr>
            </w:pPr>
          </w:p>
        </w:tc>
        <w:tc>
          <w:tcPr>
            <w:tcW w:w="1992" w:type="dxa"/>
            <w:gridSpan w:val="4"/>
            <w:tcBorders>
              <w:left w:val="nil"/>
              <w:bottom w:val="single" w:sz="12" w:space="0" w:color="auto"/>
              <w:right w:val="nil"/>
            </w:tcBorders>
            <w:shd w:val="clear" w:color="auto" w:fill="FFFFFF"/>
            <w:noWrap/>
            <w:vAlign w:val="bottom"/>
          </w:tcPr>
          <w:p w14:paraId="3CAA4D92" w14:textId="77777777" w:rsidR="00865B3C" w:rsidRPr="00865B3C" w:rsidRDefault="00865B3C" w:rsidP="00856149">
            <w:pPr>
              <w:spacing w:after="0" w:line="276" w:lineRule="auto"/>
              <w:ind w:left="-108" w:right="-28"/>
              <w:jc w:val="both"/>
              <w:rPr>
                <w:rFonts w:eastAsia="Times New Roman" w:cs="Times New Roman"/>
                <w:b/>
                <w:bCs/>
                <w:color w:val="000000"/>
                <w:sz w:val="20"/>
                <w:szCs w:val="20"/>
              </w:rPr>
            </w:pPr>
          </w:p>
        </w:tc>
        <w:tc>
          <w:tcPr>
            <w:tcW w:w="1134" w:type="dxa"/>
            <w:gridSpan w:val="2"/>
            <w:tcBorders>
              <w:left w:val="nil"/>
              <w:bottom w:val="single" w:sz="12" w:space="0" w:color="auto"/>
              <w:right w:val="nil"/>
            </w:tcBorders>
            <w:shd w:val="clear" w:color="auto" w:fill="FFFFFF"/>
            <w:noWrap/>
            <w:vAlign w:val="bottom"/>
          </w:tcPr>
          <w:p w14:paraId="6C6E9DD9" w14:textId="77777777" w:rsidR="00865B3C" w:rsidRPr="00865B3C" w:rsidRDefault="00865B3C" w:rsidP="00856149">
            <w:pPr>
              <w:spacing w:after="0" w:line="276" w:lineRule="auto"/>
              <w:ind w:left="-68" w:right="-48"/>
              <w:jc w:val="both"/>
              <w:rPr>
                <w:rFonts w:eastAsia="Times New Roman" w:cs="Times New Roman"/>
                <w:b/>
                <w:bCs/>
                <w:color w:val="000000"/>
                <w:sz w:val="20"/>
                <w:szCs w:val="20"/>
              </w:rPr>
            </w:pPr>
          </w:p>
        </w:tc>
        <w:tc>
          <w:tcPr>
            <w:tcW w:w="841" w:type="dxa"/>
            <w:gridSpan w:val="2"/>
            <w:tcBorders>
              <w:left w:val="nil"/>
              <w:bottom w:val="single" w:sz="12" w:space="0" w:color="auto"/>
              <w:right w:val="nil"/>
            </w:tcBorders>
            <w:shd w:val="clear" w:color="auto" w:fill="FFFFFF"/>
            <w:noWrap/>
            <w:vAlign w:val="bottom"/>
          </w:tcPr>
          <w:p w14:paraId="6AAA766E" w14:textId="77777777" w:rsidR="00865B3C" w:rsidRPr="00865B3C" w:rsidRDefault="00865B3C" w:rsidP="00856149">
            <w:pPr>
              <w:spacing w:after="0" w:line="276" w:lineRule="auto"/>
              <w:ind w:right="-48"/>
              <w:jc w:val="both"/>
              <w:rPr>
                <w:rFonts w:eastAsia="Times New Roman" w:cs="Times New Roman"/>
                <w:b/>
                <w:bCs/>
                <w:color w:val="000000"/>
                <w:sz w:val="20"/>
                <w:szCs w:val="20"/>
              </w:rPr>
            </w:pPr>
          </w:p>
        </w:tc>
      </w:tr>
      <w:tr w:rsidR="00865B3C" w:rsidRPr="00865B3C" w14:paraId="58452491" w14:textId="77777777" w:rsidTr="00865B3C">
        <w:tc>
          <w:tcPr>
            <w:tcW w:w="5800" w:type="dxa"/>
            <w:gridSpan w:val="3"/>
            <w:tcBorders>
              <w:top w:val="single" w:sz="12" w:space="0" w:color="auto"/>
              <w:left w:val="nil"/>
              <w:bottom w:val="single" w:sz="8" w:space="0" w:color="auto"/>
              <w:right w:val="nil"/>
            </w:tcBorders>
            <w:shd w:val="clear" w:color="auto" w:fill="FFFF00"/>
            <w:noWrap/>
            <w:vAlign w:val="center"/>
          </w:tcPr>
          <w:p w14:paraId="75AD6B61" w14:textId="77777777" w:rsidR="00865B3C" w:rsidRPr="00865B3C" w:rsidRDefault="00865B3C" w:rsidP="00856149">
            <w:pPr>
              <w:spacing w:after="0" w:line="276" w:lineRule="auto"/>
              <w:ind w:left="-80"/>
              <w:jc w:val="both"/>
              <w:rPr>
                <w:rFonts w:eastAsia="Times New Roman" w:cs="Times New Roman"/>
                <w:b/>
                <w:color w:val="000000"/>
                <w:sz w:val="20"/>
                <w:szCs w:val="20"/>
              </w:rPr>
            </w:pPr>
            <w:r w:rsidRPr="00865B3C">
              <w:rPr>
                <w:rFonts w:eastAsia="Times New Roman" w:cs="Times New Roman"/>
                <w:b/>
                <w:color w:val="000000"/>
                <w:sz w:val="20"/>
                <w:szCs w:val="20"/>
              </w:rPr>
              <w:t>mil. Kč</w:t>
            </w:r>
          </w:p>
        </w:tc>
        <w:tc>
          <w:tcPr>
            <w:tcW w:w="992" w:type="dxa"/>
            <w:tcBorders>
              <w:top w:val="single" w:sz="12" w:space="0" w:color="auto"/>
              <w:left w:val="nil"/>
              <w:bottom w:val="single" w:sz="8" w:space="0" w:color="auto"/>
              <w:right w:val="nil"/>
            </w:tcBorders>
            <w:shd w:val="clear" w:color="auto" w:fill="FFFF00"/>
          </w:tcPr>
          <w:p w14:paraId="18FD59E8"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2017</w:t>
            </w:r>
          </w:p>
        </w:tc>
        <w:tc>
          <w:tcPr>
            <w:tcW w:w="999" w:type="dxa"/>
            <w:gridSpan w:val="3"/>
            <w:tcBorders>
              <w:top w:val="single" w:sz="12" w:space="0" w:color="auto"/>
              <w:left w:val="nil"/>
              <w:bottom w:val="single" w:sz="8" w:space="0" w:color="auto"/>
              <w:right w:val="nil"/>
            </w:tcBorders>
            <w:shd w:val="clear" w:color="auto" w:fill="FFFF00"/>
            <w:noWrap/>
            <w:vAlign w:val="center"/>
          </w:tcPr>
          <w:p w14:paraId="4A6EE1E3"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2018</w:t>
            </w:r>
          </w:p>
        </w:tc>
        <w:tc>
          <w:tcPr>
            <w:tcW w:w="851" w:type="dxa"/>
            <w:gridSpan w:val="2"/>
            <w:tcBorders>
              <w:top w:val="single" w:sz="12" w:space="0" w:color="auto"/>
              <w:left w:val="nil"/>
              <w:bottom w:val="single" w:sz="8" w:space="0" w:color="auto"/>
              <w:right w:val="nil"/>
            </w:tcBorders>
            <w:shd w:val="clear" w:color="auto" w:fill="FFFF00"/>
            <w:noWrap/>
            <w:vAlign w:val="center"/>
          </w:tcPr>
          <w:p w14:paraId="1ADC9BAE"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2019</w:t>
            </w:r>
          </w:p>
        </w:tc>
        <w:tc>
          <w:tcPr>
            <w:tcW w:w="1140" w:type="dxa"/>
            <w:gridSpan w:val="2"/>
            <w:tcBorders>
              <w:top w:val="single" w:sz="12" w:space="0" w:color="auto"/>
              <w:left w:val="nil"/>
              <w:bottom w:val="single" w:sz="8" w:space="0" w:color="auto"/>
              <w:right w:val="nil"/>
            </w:tcBorders>
            <w:shd w:val="clear" w:color="auto" w:fill="FFFF00"/>
            <w:noWrap/>
            <w:vAlign w:val="center"/>
          </w:tcPr>
          <w:p w14:paraId="1C4D305D"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30. 6. 2020</w:t>
            </w:r>
          </w:p>
        </w:tc>
      </w:tr>
      <w:tr w:rsidR="00865B3C" w:rsidRPr="00865B3C" w14:paraId="5FC0BD77" w14:textId="77777777" w:rsidTr="00865B3C">
        <w:tc>
          <w:tcPr>
            <w:tcW w:w="5800" w:type="dxa"/>
            <w:gridSpan w:val="3"/>
            <w:tcBorders>
              <w:top w:val="single" w:sz="8" w:space="0" w:color="auto"/>
              <w:left w:val="nil"/>
              <w:right w:val="nil"/>
            </w:tcBorders>
            <w:shd w:val="clear" w:color="auto" w:fill="auto"/>
            <w:noWrap/>
            <w:vAlign w:val="center"/>
          </w:tcPr>
          <w:p w14:paraId="6F98C523"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Výnosy z úroků a podobné výnosy účtované na základě metody efektivní úrokové míry</w:t>
            </w:r>
          </w:p>
        </w:tc>
        <w:tc>
          <w:tcPr>
            <w:tcW w:w="992" w:type="dxa"/>
            <w:tcBorders>
              <w:top w:val="nil"/>
              <w:left w:val="nil"/>
              <w:bottom w:val="nil"/>
              <w:right w:val="nil"/>
            </w:tcBorders>
            <w:shd w:val="clear" w:color="auto" w:fill="auto"/>
            <w:vAlign w:val="bottom"/>
          </w:tcPr>
          <w:p w14:paraId="52CFB039"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8 231</w:t>
            </w:r>
          </w:p>
        </w:tc>
        <w:tc>
          <w:tcPr>
            <w:tcW w:w="999" w:type="dxa"/>
            <w:gridSpan w:val="3"/>
            <w:tcBorders>
              <w:top w:val="nil"/>
              <w:left w:val="nil"/>
              <w:bottom w:val="nil"/>
              <w:right w:val="nil"/>
            </w:tcBorders>
            <w:noWrap/>
            <w:vAlign w:val="bottom"/>
          </w:tcPr>
          <w:p w14:paraId="04A852C0"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10 227</w:t>
            </w:r>
          </w:p>
        </w:tc>
        <w:tc>
          <w:tcPr>
            <w:tcW w:w="851" w:type="dxa"/>
            <w:gridSpan w:val="2"/>
            <w:tcBorders>
              <w:top w:val="nil"/>
              <w:left w:val="nil"/>
              <w:bottom w:val="nil"/>
              <w:right w:val="nil"/>
            </w:tcBorders>
            <w:shd w:val="clear" w:color="auto" w:fill="auto"/>
            <w:noWrap/>
            <w:vAlign w:val="bottom"/>
          </w:tcPr>
          <w:p w14:paraId="487B53A3"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13 095</w:t>
            </w:r>
          </w:p>
        </w:tc>
        <w:tc>
          <w:tcPr>
            <w:tcW w:w="1140" w:type="dxa"/>
            <w:gridSpan w:val="2"/>
            <w:tcBorders>
              <w:top w:val="nil"/>
              <w:left w:val="nil"/>
              <w:bottom w:val="nil"/>
              <w:right w:val="nil"/>
            </w:tcBorders>
            <w:shd w:val="clear" w:color="auto" w:fill="auto"/>
            <w:noWrap/>
            <w:vAlign w:val="bottom"/>
          </w:tcPr>
          <w:p w14:paraId="3E445D6C"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6 293</w:t>
            </w:r>
          </w:p>
        </w:tc>
      </w:tr>
      <w:tr w:rsidR="00865B3C" w:rsidRPr="00865B3C" w14:paraId="610F0AB8" w14:textId="77777777" w:rsidTr="00865B3C">
        <w:tc>
          <w:tcPr>
            <w:tcW w:w="5800" w:type="dxa"/>
            <w:gridSpan w:val="3"/>
            <w:tcBorders>
              <w:left w:val="nil"/>
              <w:bottom w:val="nil"/>
              <w:right w:val="nil"/>
            </w:tcBorders>
            <w:shd w:val="clear" w:color="auto" w:fill="auto"/>
            <w:noWrap/>
            <w:vAlign w:val="center"/>
          </w:tcPr>
          <w:p w14:paraId="00317825"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Ostatní výnosy z úroků</w:t>
            </w:r>
          </w:p>
        </w:tc>
        <w:tc>
          <w:tcPr>
            <w:tcW w:w="992" w:type="dxa"/>
            <w:tcBorders>
              <w:top w:val="nil"/>
              <w:left w:val="nil"/>
              <w:bottom w:val="nil"/>
              <w:right w:val="nil"/>
            </w:tcBorders>
            <w:shd w:val="clear" w:color="auto" w:fill="auto"/>
            <w:vAlign w:val="bottom"/>
          </w:tcPr>
          <w:p w14:paraId="04DAC4D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768</w:t>
            </w:r>
          </w:p>
        </w:tc>
        <w:tc>
          <w:tcPr>
            <w:tcW w:w="999" w:type="dxa"/>
            <w:gridSpan w:val="3"/>
            <w:tcBorders>
              <w:top w:val="nil"/>
              <w:left w:val="nil"/>
              <w:bottom w:val="nil"/>
              <w:right w:val="nil"/>
            </w:tcBorders>
            <w:noWrap/>
            <w:vAlign w:val="bottom"/>
          </w:tcPr>
          <w:p w14:paraId="57BF0636"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1 533</w:t>
            </w:r>
          </w:p>
        </w:tc>
        <w:tc>
          <w:tcPr>
            <w:tcW w:w="851" w:type="dxa"/>
            <w:gridSpan w:val="2"/>
            <w:tcBorders>
              <w:top w:val="nil"/>
              <w:left w:val="nil"/>
              <w:bottom w:val="nil"/>
              <w:right w:val="nil"/>
            </w:tcBorders>
            <w:shd w:val="clear" w:color="auto" w:fill="auto"/>
            <w:noWrap/>
            <w:vAlign w:val="bottom"/>
          </w:tcPr>
          <w:p w14:paraId="565E291B"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2 474</w:t>
            </w:r>
          </w:p>
        </w:tc>
        <w:tc>
          <w:tcPr>
            <w:tcW w:w="1140" w:type="dxa"/>
            <w:gridSpan w:val="2"/>
            <w:tcBorders>
              <w:top w:val="nil"/>
              <w:left w:val="nil"/>
              <w:right w:val="nil"/>
            </w:tcBorders>
            <w:shd w:val="clear" w:color="auto" w:fill="auto"/>
            <w:noWrap/>
            <w:vAlign w:val="bottom"/>
          </w:tcPr>
          <w:p w14:paraId="755BE28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1 402</w:t>
            </w:r>
          </w:p>
        </w:tc>
      </w:tr>
      <w:tr w:rsidR="00865B3C" w:rsidRPr="00865B3C" w14:paraId="07EFC467" w14:textId="77777777" w:rsidTr="00865B3C">
        <w:tc>
          <w:tcPr>
            <w:tcW w:w="5800" w:type="dxa"/>
            <w:gridSpan w:val="3"/>
            <w:tcBorders>
              <w:top w:val="nil"/>
              <w:left w:val="nil"/>
              <w:bottom w:val="single" w:sz="8" w:space="0" w:color="auto"/>
              <w:right w:val="nil"/>
            </w:tcBorders>
            <w:shd w:val="clear" w:color="auto" w:fill="FFFFFF"/>
            <w:noWrap/>
            <w:vAlign w:val="center"/>
          </w:tcPr>
          <w:p w14:paraId="191B2A69"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Náklady na úroky a podobné náklady</w:t>
            </w:r>
          </w:p>
        </w:tc>
        <w:tc>
          <w:tcPr>
            <w:tcW w:w="992" w:type="dxa"/>
            <w:tcBorders>
              <w:top w:val="nil"/>
              <w:left w:val="nil"/>
              <w:bottom w:val="single" w:sz="8" w:space="0" w:color="auto"/>
              <w:right w:val="nil"/>
            </w:tcBorders>
            <w:shd w:val="clear" w:color="auto" w:fill="auto"/>
            <w:vAlign w:val="bottom"/>
          </w:tcPr>
          <w:p w14:paraId="4236B16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(2 815)</w:t>
            </w:r>
          </w:p>
        </w:tc>
        <w:tc>
          <w:tcPr>
            <w:tcW w:w="999" w:type="dxa"/>
            <w:gridSpan w:val="3"/>
            <w:tcBorders>
              <w:top w:val="nil"/>
              <w:left w:val="nil"/>
              <w:bottom w:val="single" w:sz="4" w:space="0" w:color="auto"/>
              <w:right w:val="nil"/>
            </w:tcBorders>
            <w:noWrap/>
            <w:vAlign w:val="bottom"/>
          </w:tcPr>
          <w:p w14:paraId="474052D2"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(4 470)</w:t>
            </w:r>
          </w:p>
        </w:tc>
        <w:tc>
          <w:tcPr>
            <w:tcW w:w="851" w:type="dxa"/>
            <w:gridSpan w:val="2"/>
            <w:tcBorders>
              <w:top w:val="nil"/>
              <w:left w:val="nil"/>
              <w:bottom w:val="single" w:sz="8" w:space="0" w:color="auto"/>
              <w:right w:val="nil"/>
            </w:tcBorders>
            <w:shd w:val="clear" w:color="auto" w:fill="auto"/>
            <w:noWrap/>
            <w:vAlign w:val="bottom"/>
          </w:tcPr>
          <w:p w14:paraId="09B6280C"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(7 030)</w:t>
            </w:r>
          </w:p>
        </w:tc>
        <w:tc>
          <w:tcPr>
            <w:tcW w:w="1140" w:type="dxa"/>
            <w:gridSpan w:val="2"/>
            <w:tcBorders>
              <w:top w:val="nil"/>
              <w:left w:val="nil"/>
              <w:bottom w:val="single" w:sz="4" w:space="0" w:color="auto"/>
              <w:right w:val="nil"/>
            </w:tcBorders>
            <w:shd w:val="clear" w:color="auto" w:fill="auto"/>
            <w:noWrap/>
            <w:vAlign w:val="bottom"/>
          </w:tcPr>
          <w:p w14:paraId="2C2AFB1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(3 655)</w:t>
            </w:r>
          </w:p>
        </w:tc>
      </w:tr>
      <w:tr w:rsidR="00865B3C" w:rsidRPr="00865B3C" w14:paraId="197A071C" w14:textId="77777777" w:rsidTr="00865B3C">
        <w:tc>
          <w:tcPr>
            <w:tcW w:w="5800" w:type="dxa"/>
            <w:gridSpan w:val="3"/>
            <w:tcBorders>
              <w:top w:val="single" w:sz="8" w:space="0" w:color="auto"/>
              <w:left w:val="nil"/>
              <w:bottom w:val="single" w:sz="8" w:space="0" w:color="auto"/>
              <w:right w:val="nil"/>
            </w:tcBorders>
            <w:shd w:val="clear" w:color="auto" w:fill="FFFF99"/>
            <w:noWrap/>
            <w:vAlign w:val="center"/>
          </w:tcPr>
          <w:p w14:paraId="144E607D" w14:textId="77777777" w:rsidR="00865B3C" w:rsidRPr="00865B3C" w:rsidRDefault="00865B3C" w:rsidP="00856149">
            <w:pPr>
              <w:spacing w:after="0" w:line="276" w:lineRule="auto"/>
              <w:ind w:left="-80"/>
              <w:jc w:val="both"/>
              <w:rPr>
                <w:rFonts w:eastAsia="Times New Roman" w:cs="Times New Roman"/>
                <w:b/>
                <w:bCs/>
                <w:sz w:val="20"/>
                <w:szCs w:val="20"/>
              </w:rPr>
            </w:pPr>
            <w:r w:rsidRPr="00865B3C">
              <w:rPr>
                <w:rFonts w:eastAsia="Times New Roman" w:cs="Times New Roman"/>
                <w:b/>
                <w:bCs/>
                <w:sz w:val="20"/>
                <w:szCs w:val="20"/>
              </w:rPr>
              <w:t>Čistý úrokový výnos</w:t>
            </w:r>
          </w:p>
        </w:tc>
        <w:tc>
          <w:tcPr>
            <w:tcW w:w="992" w:type="dxa"/>
            <w:tcBorders>
              <w:top w:val="nil"/>
              <w:left w:val="nil"/>
              <w:bottom w:val="single" w:sz="8" w:space="0" w:color="auto"/>
              <w:right w:val="nil"/>
            </w:tcBorders>
            <w:shd w:val="clear" w:color="000000" w:fill="FFFF99"/>
            <w:vAlign w:val="bottom"/>
          </w:tcPr>
          <w:p w14:paraId="1DD8505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6 184</w:t>
            </w:r>
          </w:p>
        </w:tc>
        <w:tc>
          <w:tcPr>
            <w:tcW w:w="999" w:type="dxa"/>
            <w:gridSpan w:val="3"/>
            <w:tcBorders>
              <w:top w:val="single" w:sz="4" w:space="0" w:color="auto"/>
              <w:left w:val="nil"/>
              <w:bottom w:val="single" w:sz="4" w:space="0" w:color="auto"/>
              <w:right w:val="nil"/>
            </w:tcBorders>
            <w:shd w:val="solid" w:color="FFFF99" w:fill="auto"/>
            <w:noWrap/>
            <w:vAlign w:val="bottom"/>
          </w:tcPr>
          <w:p w14:paraId="0E8DC9AF"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7 290</w:t>
            </w:r>
          </w:p>
        </w:tc>
        <w:tc>
          <w:tcPr>
            <w:tcW w:w="851" w:type="dxa"/>
            <w:gridSpan w:val="2"/>
            <w:tcBorders>
              <w:top w:val="single" w:sz="8" w:space="0" w:color="auto"/>
              <w:left w:val="nil"/>
              <w:bottom w:val="single" w:sz="4" w:space="0" w:color="auto"/>
              <w:right w:val="nil"/>
            </w:tcBorders>
            <w:shd w:val="clear" w:color="000000" w:fill="FFFF99"/>
            <w:noWrap/>
            <w:vAlign w:val="bottom"/>
          </w:tcPr>
          <w:p w14:paraId="707EF006"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8 539</w:t>
            </w:r>
          </w:p>
        </w:tc>
        <w:tc>
          <w:tcPr>
            <w:tcW w:w="1140" w:type="dxa"/>
            <w:gridSpan w:val="2"/>
            <w:tcBorders>
              <w:top w:val="single" w:sz="4" w:space="0" w:color="auto"/>
              <w:left w:val="nil"/>
              <w:bottom w:val="single" w:sz="8" w:space="0" w:color="auto"/>
              <w:right w:val="nil"/>
            </w:tcBorders>
            <w:shd w:val="clear" w:color="auto" w:fill="FFFF99"/>
            <w:noWrap/>
            <w:vAlign w:val="bottom"/>
          </w:tcPr>
          <w:p w14:paraId="50CB11E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4 040</w:t>
            </w:r>
          </w:p>
        </w:tc>
      </w:tr>
      <w:tr w:rsidR="00865B3C" w:rsidRPr="00865B3C" w14:paraId="7035CA7D" w14:textId="77777777" w:rsidTr="00865B3C">
        <w:tc>
          <w:tcPr>
            <w:tcW w:w="5800" w:type="dxa"/>
            <w:gridSpan w:val="3"/>
            <w:tcBorders>
              <w:top w:val="single" w:sz="8" w:space="0" w:color="auto"/>
              <w:left w:val="nil"/>
              <w:bottom w:val="nil"/>
              <w:right w:val="nil"/>
            </w:tcBorders>
            <w:shd w:val="clear" w:color="auto" w:fill="FFFFFF"/>
            <w:noWrap/>
            <w:vAlign w:val="center"/>
          </w:tcPr>
          <w:p w14:paraId="796F883F"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Výnosy z poplatků a provizí</w:t>
            </w:r>
          </w:p>
        </w:tc>
        <w:tc>
          <w:tcPr>
            <w:tcW w:w="992" w:type="dxa"/>
            <w:tcBorders>
              <w:top w:val="nil"/>
              <w:left w:val="nil"/>
              <w:bottom w:val="nil"/>
              <w:right w:val="nil"/>
            </w:tcBorders>
            <w:shd w:val="clear" w:color="auto" w:fill="auto"/>
            <w:vAlign w:val="bottom"/>
          </w:tcPr>
          <w:p w14:paraId="46CAD93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2 790</w:t>
            </w:r>
          </w:p>
        </w:tc>
        <w:tc>
          <w:tcPr>
            <w:tcW w:w="999" w:type="dxa"/>
            <w:gridSpan w:val="3"/>
            <w:tcBorders>
              <w:top w:val="single" w:sz="4" w:space="0" w:color="auto"/>
              <w:left w:val="nil"/>
              <w:bottom w:val="nil"/>
              <w:right w:val="nil"/>
            </w:tcBorders>
            <w:noWrap/>
            <w:vAlign w:val="bottom"/>
          </w:tcPr>
          <w:p w14:paraId="6EFCD8D7"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2 730</w:t>
            </w:r>
          </w:p>
        </w:tc>
        <w:tc>
          <w:tcPr>
            <w:tcW w:w="851" w:type="dxa"/>
            <w:gridSpan w:val="2"/>
            <w:tcBorders>
              <w:top w:val="single" w:sz="4" w:space="0" w:color="auto"/>
              <w:left w:val="nil"/>
              <w:bottom w:val="nil"/>
              <w:right w:val="nil"/>
            </w:tcBorders>
            <w:shd w:val="clear" w:color="auto" w:fill="auto"/>
            <w:noWrap/>
            <w:vAlign w:val="bottom"/>
          </w:tcPr>
          <w:p w14:paraId="7517AE95"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2 643</w:t>
            </w:r>
          </w:p>
        </w:tc>
        <w:tc>
          <w:tcPr>
            <w:tcW w:w="1140" w:type="dxa"/>
            <w:gridSpan w:val="2"/>
            <w:tcBorders>
              <w:top w:val="nil"/>
              <w:left w:val="nil"/>
              <w:right w:val="nil"/>
            </w:tcBorders>
            <w:shd w:val="clear" w:color="auto" w:fill="auto"/>
            <w:noWrap/>
            <w:vAlign w:val="bottom"/>
          </w:tcPr>
          <w:p w14:paraId="28917B5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1 208</w:t>
            </w:r>
          </w:p>
        </w:tc>
      </w:tr>
      <w:tr w:rsidR="00865B3C" w:rsidRPr="00865B3C" w14:paraId="432817A7" w14:textId="77777777" w:rsidTr="00B30905">
        <w:tc>
          <w:tcPr>
            <w:tcW w:w="5800" w:type="dxa"/>
            <w:gridSpan w:val="3"/>
            <w:tcBorders>
              <w:top w:val="nil"/>
              <w:left w:val="nil"/>
              <w:bottom w:val="single" w:sz="8" w:space="0" w:color="auto"/>
              <w:right w:val="nil"/>
            </w:tcBorders>
            <w:shd w:val="clear" w:color="auto" w:fill="FFFFFF"/>
            <w:noWrap/>
            <w:vAlign w:val="center"/>
          </w:tcPr>
          <w:p w14:paraId="5AA61059"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Náklady na poplatky a provize</w:t>
            </w:r>
          </w:p>
        </w:tc>
        <w:tc>
          <w:tcPr>
            <w:tcW w:w="992" w:type="dxa"/>
            <w:tcBorders>
              <w:top w:val="nil"/>
              <w:left w:val="nil"/>
              <w:bottom w:val="single" w:sz="4" w:space="0" w:color="auto"/>
              <w:right w:val="nil"/>
            </w:tcBorders>
            <w:shd w:val="clear" w:color="auto" w:fill="auto"/>
            <w:vAlign w:val="bottom"/>
          </w:tcPr>
          <w:p w14:paraId="2FCE18C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(871)</w:t>
            </w:r>
          </w:p>
        </w:tc>
        <w:tc>
          <w:tcPr>
            <w:tcW w:w="999" w:type="dxa"/>
            <w:gridSpan w:val="3"/>
            <w:tcBorders>
              <w:top w:val="nil"/>
              <w:left w:val="nil"/>
              <w:bottom w:val="single" w:sz="4" w:space="0" w:color="auto"/>
              <w:right w:val="nil"/>
            </w:tcBorders>
            <w:noWrap/>
            <w:vAlign w:val="bottom"/>
          </w:tcPr>
          <w:p w14:paraId="10983F3E"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(867)</w:t>
            </w:r>
          </w:p>
        </w:tc>
        <w:tc>
          <w:tcPr>
            <w:tcW w:w="851" w:type="dxa"/>
            <w:gridSpan w:val="2"/>
            <w:tcBorders>
              <w:top w:val="nil"/>
              <w:left w:val="nil"/>
              <w:bottom w:val="single" w:sz="8" w:space="0" w:color="auto"/>
              <w:right w:val="nil"/>
            </w:tcBorders>
            <w:shd w:val="clear" w:color="auto" w:fill="auto"/>
            <w:noWrap/>
            <w:vAlign w:val="bottom"/>
          </w:tcPr>
          <w:p w14:paraId="3BBED78F"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(954)</w:t>
            </w:r>
          </w:p>
        </w:tc>
        <w:tc>
          <w:tcPr>
            <w:tcW w:w="1140" w:type="dxa"/>
            <w:gridSpan w:val="2"/>
            <w:tcBorders>
              <w:top w:val="nil"/>
              <w:left w:val="nil"/>
              <w:bottom w:val="single" w:sz="4" w:space="0" w:color="auto"/>
              <w:right w:val="nil"/>
            </w:tcBorders>
            <w:shd w:val="clear" w:color="auto" w:fill="auto"/>
            <w:noWrap/>
            <w:vAlign w:val="bottom"/>
          </w:tcPr>
          <w:p w14:paraId="23605EF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(413)</w:t>
            </w:r>
          </w:p>
        </w:tc>
      </w:tr>
      <w:tr w:rsidR="00865B3C" w:rsidRPr="00865B3C" w14:paraId="4D817B1A" w14:textId="77777777" w:rsidTr="00B30905">
        <w:tc>
          <w:tcPr>
            <w:tcW w:w="5800" w:type="dxa"/>
            <w:gridSpan w:val="3"/>
            <w:tcBorders>
              <w:top w:val="single" w:sz="8" w:space="0" w:color="auto"/>
              <w:left w:val="nil"/>
              <w:bottom w:val="single" w:sz="8" w:space="0" w:color="auto"/>
              <w:right w:val="nil"/>
            </w:tcBorders>
            <w:shd w:val="clear" w:color="auto" w:fill="FFFF99"/>
            <w:noWrap/>
            <w:vAlign w:val="center"/>
          </w:tcPr>
          <w:p w14:paraId="7420270C" w14:textId="77777777" w:rsidR="00865B3C" w:rsidRPr="00865B3C" w:rsidRDefault="00865B3C" w:rsidP="00856149">
            <w:pPr>
              <w:spacing w:after="0" w:line="276" w:lineRule="auto"/>
              <w:ind w:left="-80"/>
              <w:jc w:val="both"/>
              <w:rPr>
                <w:rFonts w:eastAsia="Times New Roman" w:cs="Times New Roman"/>
                <w:b/>
                <w:bCs/>
                <w:sz w:val="20"/>
                <w:szCs w:val="20"/>
              </w:rPr>
            </w:pPr>
            <w:r w:rsidRPr="00865B3C">
              <w:rPr>
                <w:rFonts w:eastAsia="Times New Roman" w:cs="Times New Roman"/>
                <w:b/>
                <w:bCs/>
                <w:sz w:val="20"/>
                <w:szCs w:val="20"/>
              </w:rPr>
              <w:t>Čisté výnosy z poplatků a provizí</w:t>
            </w:r>
          </w:p>
        </w:tc>
        <w:tc>
          <w:tcPr>
            <w:tcW w:w="992" w:type="dxa"/>
            <w:tcBorders>
              <w:top w:val="single" w:sz="4" w:space="0" w:color="auto"/>
              <w:left w:val="nil"/>
              <w:bottom w:val="single" w:sz="8" w:space="0" w:color="auto"/>
              <w:right w:val="nil"/>
            </w:tcBorders>
            <w:shd w:val="clear" w:color="000000" w:fill="FFFF99"/>
            <w:vAlign w:val="bottom"/>
          </w:tcPr>
          <w:p w14:paraId="1086FF35" w14:textId="77777777" w:rsidR="00865B3C" w:rsidRPr="00B30905" w:rsidRDefault="00865B3C" w:rsidP="00AA77D8">
            <w:pPr>
              <w:autoSpaceDE w:val="0"/>
              <w:autoSpaceDN w:val="0"/>
              <w:adjustRightInd w:val="0"/>
              <w:spacing w:after="0" w:line="276" w:lineRule="auto"/>
              <w:jc w:val="right"/>
              <w:rPr>
                <w:rFonts w:cs="Times New Roman"/>
                <w:b/>
                <w:bCs/>
                <w:color w:val="000000"/>
                <w:sz w:val="20"/>
                <w:szCs w:val="20"/>
              </w:rPr>
            </w:pPr>
            <w:r w:rsidRPr="00B30905">
              <w:rPr>
                <w:rFonts w:cs="Times New Roman"/>
                <w:b/>
                <w:bCs/>
                <w:color w:val="000000"/>
                <w:sz w:val="20"/>
                <w:szCs w:val="20"/>
              </w:rPr>
              <w:t>1 919</w:t>
            </w:r>
          </w:p>
        </w:tc>
        <w:tc>
          <w:tcPr>
            <w:tcW w:w="999" w:type="dxa"/>
            <w:gridSpan w:val="3"/>
            <w:tcBorders>
              <w:top w:val="single" w:sz="4" w:space="0" w:color="auto"/>
              <w:left w:val="nil"/>
              <w:bottom w:val="single" w:sz="4" w:space="0" w:color="auto"/>
              <w:right w:val="nil"/>
            </w:tcBorders>
            <w:shd w:val="solid" w:color="FFFF99" w:fill="auto"/>
            <w:noWrap/>
            <w:vAlign w:val="bottom"/>
          </w:tcPr>
          <w:p w14:paraId="25F953DF"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1 863</w:t>
            </w:r>
          </w:p>
        </w:tc>
        <w:tc>
          <w:tcPr>
            <w:tcW w:w="851" w:type="dxa"/>
            <w:gridSpan w:val="2"/>
            <w:tcBorders>
              <w:top w:val="single" w:sz="8" w:space="0" w:color="auto"/>
              <w:left w:val="nil"/>
              <w:bottom w:val="single" w:sz="4" w:space="0" w:color="auto"/>
              <w:right w:val="nil"/>
            </w:tcBorders>
            <w:shd w:val="clear" w:color="000000" w:fill="FFFF99"/>
            <w:noWrap/>
            <w:vAlign w:val="bottom"/>
          </w:tcPr>
          <w:p w14:paraId="69134DA7"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1 689</w:t>
            </w:r>
          </w:p>
        </w:tc>
        <w:tc>
          <w:tcPr>
            <w:tcW w:w="1140" w:type="dxa"/>
            <w:gridSpan w:val="2"/>
            <w:tcBorders>
              <w:top w:val="single" w:sz="4" w:space="0" w:color="auto"/>
              <w:left w:val="nil"/>
              <w:bottom w:val="single" w:sz="8" w:space="0" w:color="auto"/>
              <w:right w:val="nil"/>
            </w:tcBorders>
            <w:shd w:val="clear" w:color="auto" w:fill="FFFF99"/>
            <w:noWrap/>
            <w:vAlign w:val="bottom"/>
          </w:tcPr>
          <w:p w14:paraId="2496EFF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795</w:t>
            </w:r>
          </w:p>
        </w:tc>
      </w:tr>
      <w:tr w:rsidR="00865B3C" w:rsidRPr="00865B3C" w14:paraId="70CDC800" w14:textId="77777777" w:rsidTr="00865B3C">
        <w:tc>
          <w:tcPr>
            <w:tcW w:w="5800" w:type="dxa"/>
            <w:gridSpan w:val="3"/>
            <w:tcBorders>
              <w:top w:val="single" w:sz="8" w:space="0" w:color="auto"/>
              <w:left w:val="nil"/>
              <w:bottom w:val="nil"/>
              <w:right w:val="nil"/>
            </w:tcBorders>
            <w:shd w:val="clear" w:color="auto" w:fill="FFFFFF"/>
            <w:noWrap/>
            <w:vAlign w:val="center"/>
          </w:tcPr>
          <w:p w14:paraId="7B5C6524"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Čistý zisk z finančních operací</w:t>
            </w:r>
          </w:p>
        </w:tc>
        <w:tc>
          <w:tcPr>
            <w:tcW w:w="992" w:type="dxa"/>
            <w:tcBorders>
              <w:top w:val="nil"/>
              <w:left w:val="nil"/>
              <w:bottom w:val="nil"/>
              <w:right w:val="nil"/>
            </w:tcBorders>
            <w:shd w:val="clear" w:color="000000" w:fill="FFFFFF"/>
            <w:vAlign w:val="bottom"/>
          </w:tcPr>
          <w:p w14:paraId="22A107F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2 264</w:t>
            </w:r>
          </w:p>
        </w:tc>
        <w:tc>
          <w:tcPr>
            <w:tcW w:w="999" w:type="dxa"/>
            <w:gridSpan w:val="3"/>
            <w:tcBorders>
              <w:top w:val="single" w:sz="4" w:space="0" w:color="auto"/>
              <w:left w:val="nil"/>
              <w:bottom w:val="nil"/>
              <w:right w:val="nil"/>
            </w:tcBorders>
            <w:shd w:val="solid" w:color="FFFFFF" w:fill="auto"/>
            <w:noWrap/>
            <w:vAlign w:val="bottom"/>
          </w:tcPr>
          <w:p w14:paraId="16BB9288"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1 412</w:t>
            </w:r>
          </w:p>
        </w:tc>
        <w:tc>
          <w:tcPr>
            <w:tcW w:w="851" w:type="dxa"/>
            <w:gridSpan w:val="2"/>
            <w:tcBorders>
              <w:top w:val="nil"/>
              <w:left w:val="nil"/>
              <w:bottom w:val="nil"/>
              <w:right w:val="nil"/>
            </w:tcBorders>
            <w:shd w:val="clear" w:color="auto" w:fill="auto"/>
            <w:noWrap/>
            <w:vAlign w:val="bottom"/>
          </w:tcPr>
          <w:p w14:paraId="34F1324A"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1 208</w:t>
            </w:r>
          </w:p>
        </w:tc>
        <w:tc>
          <w:tcPr>
            <w:tcW w:w="1140" w:type="dxa"/>
            <w:gridSpan w:val="2"/>
            <w:tcBorders>
              <w:top w:val="nil"/>
              <w:left w:val="nil"/>
              <w:bottom w:val="nil"/>
              <w:right w:val="nil"/>
            </w:tcBorders>
            <w:shd w:val="clear" w:color="auto" w:fill="auto"/>
            <w:noWrap/>
            <w:vAlign w:val="bottom"/>
          </w:tcPr>
          <w:p w14:paraId="2423144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495</w:t>
            </w:r>
          </w:p>
        </w:tc>
      </w:tr>
      <w:tr w:rsidR="00865B3C" w:rsidRPr="00865B3C" w14:paraId="72ED3590" w14:textId="77777777" w:rsidTr="00865B3C">
        <w:tc>
          <w:tcPr>
            <w:tcW w:w="5800" w:type="dxa"/>
            <w:gridSpan w:val="3"/>
            <w:tcBorders>
              <w:top w:val="nil"/>
              <w:left w:val="nil"/>
              <w:bottom w:val="nil"/>
              <w:right w:val="nil"/>
            </w:tcBorders>
            <w:shd w:val="clear" w:color="auto" w:fill="FFFFFF"/>
            <w:noWrap/>
            <w:vAlign w:val="center"/>
          </w:tcPr>
          <w:p w14:paraId="217E8A88"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Čistý zisk ze zajišťovacího účetnictví</w:t>
            </w:r>
          </w:p>
        </w:tc>
        <w:tc>
          <w:tcPr>
            <w:tcW w:w="992" w:type="dxa"/>
            <w:tcBorders>
              <w:top w:val="nil"/>
              <w:left w:val="nil"/>
              <w:bottom w:val="nil"/>
              <w:right w:val="nil"/>
            </w:tcBorders>
            <w:shd w:val="clear" w:color="000000" w:fill="FFFFFF"/>
            <w:vAlign w:val="bottom"/>
          </w:tcPr>
          <w:p w14:paraId="0E9557D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9" w:type="dxa"/>
            <w:gridSpan w:val="3"/>
            <w:tcBorders>
              <w:top w:val="nil"/>
              <w:left w:val="nil"/>
              <w:bottom w:val="nil"/>
              <w:right w:val="nil"/>
            </w:tcBorders>
            <w:shd w:val="solid" w:color="FFFFFF" w:fill="auto"/>
            <w:noWrap/>
            <w:vAlign w:val="bottom"/>
          </w:tcPr>
          <w:p w14:paraId="125814E0"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73</w:t>
            </w:r>
          </w:p>
        </w:tc>
        <w:tc>
          <w:tcPr>
            <w:tcW w:w="851" w:type="dxa"/>
            <w:gridSpan w:val="2"/>
            <w:tcBorders>
              <w:top w:val="nil"/>
              <w:left w:val="nil"/>
              <w:bottom w:val="nil"/>
              <w:right w:val="nil"/>
            </w:tcBorders>
            <w:shd w:val="clear" w:color="auto" w:fill="auto"/>
            <w:noWrap/>
            <w:vAlign w:val="bottom"/>
          </w:tcPr>
          <w:p w14:paraId="58257E36"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6</w:t>
            </w:r>
          </w:p>
        </w:tc>
        <w:tc>
          <w:tcPr>
            <w:tcW w:w="1140" w:type="dxa"/>
            <w:gridSpan w:val="2"/>
            <w:tcBorders>
              <w:top w:val="nil"/>
              <w:left w:val="nil"/>
              <w:bottom w:val="nil"/>
              <w:right w:val="nil"/>
            </w:tcBorders>
            <w:shd w:val="clear" w:color="auto" w:fill="auto"/>
            <w:noWrap/>
            <w:vAlign w:val="bottom"/>
          </w:tcPr>
          <w:p w14:paraId="3167B73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(17)</w:t>
            </w:r>
          </w:p>
        </w:tc>
      </w:tr>
      <w:tr w:rsidR="00865B3C" w:rsidRPr="00865B3C" w14:paraId="692ED0C0" w14:textId="77777777" w:rsidTr="00865B3C">
        <w:tc>
          <w:tcPr>
            <w:tcW w:w="5800" w:type="dxa"/>
            <w:gridSpan w:val="3"/>
            <w:tcBorders>
              <w:top w:val="nil"/>
              <w:left w:val="nil"/>
              <w:bottom w:val="nil"/>
              <w:right w:val="nil"/>
            </w:tcBorders>
            <w:shd w:val="clear" w:color="auto" w:fill="FFFFFF"/>
            <w:noWrap/>
            <w:vAlign w:val="center"/>
          </w:tcPr>
          <w:p w14:paraId="112CBB11"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Dividendový výnos</w:t>
            </w:r>
          </w:p>
        </w:tc>
        <w:tc>
          <w:tcPr>
            <w:tcW w:w="992" w:type="dxa"/>
            <w:tcBorders>
              <w:top w:val="nil"/>
              <w:left w:val="nil"/>
              <w:bottom w:val="nil"/>
              <w:right w:val="nil"/>
            </w:tcBorders>
            <w:shd w:val="clear" w:color="000000" w:fill="FFFFFF"/>
            <w:vAlign w:val="bottom"/>
          </w:tcPr>
          <w:p w14:paraId="7C11486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75</w:t>
            </w:r>
          </w:p>
        </w:tc>
        <w:tc>
          <w:tcPr>
            <w:tcW w:w="999" w:type="dxa"/>
            <w:gridSpan w:val="3"/>
            <w:tcBorders>
              <w:top w:val="nil"/>
              <w:left w:val="nil"/>
              <w:bottom w:val="nil"/>
              <w:right w:val="nil"/>
            </w:tcBorders>
            <w:shd w:val="solid" w:color="FFFFFF" w:fill="auto"/>
            <w:noWrap/>
            <w:vAlign w:val="bottom"/>
          </w:tcPr>
          <w:p w14:paraId="3E1461DA"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31</w:t>
            </w:r>
          </w:p>
        </w:tc>
        <w:tc>
          <w:tcPr>
            <w:tcW w:w="851" w:type="dxa"/>
            <w:gridSpan w:val="2"/>
            <w:tcBorders>
              <w:top w:val="nil"/>
              <w:left w:val="nil"/>
              <w:bottom w:val="nil"/>
              <w:right w:val="nil"/>
            </w:tcBorders>
            <w:shd w:val="clear" w:color="auto" w:fill="auto"/>
            <w:noWrap/>
            <w:vAlign w:val="bottom"/>
          </w:tcPr>
          <w:p w14:paraId="2EFAC389"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257</w:t>
            </w:r>
          </w:p>
        </w:tc>
        <w:tc>
          <w:tcPr>
            <w:tcW w:w="1140" w:type="dxa"/>
            <w:gridSpan w:val="2"/>
            <w:tcBorders>
              <w:top w:val="nil"/>
              <w:left w:val="nil"/>
              <w:bottom w:val="nil"/>
              <w:right w:val="nil"/>
            </w:tcBorders>
            <w:shd w:val="clear" w:color="auto" w:fill="auto"/>
            <w:noWrap/>
            <w:vAlign w:val="bottom"/>
          </w:tcPr>
          <w:p w14:paraId="652C225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w:t>
            </w:r>
          </w:p>
        </w:tc>
      </w:tr>
      <w:tr w:rsidR="00865B3C" w:rsidRPr="00865B3C" w14:paraId="02912442" w14:textId="77777777" w:rsidTr="00865B3C">
        <w:tc>
          <w:tcPr>
            <w:tcW w:w="5800" w:type="dxa"/>
            <w:gridSpan w:val="3"/>
            <w:tcBorders>
              <w:top w:val="nil"/>
              <w:left w:val="nil"/>
              <w:bottom w:val="nil"/>
              <w:right w:val="nil"/>
            </w:tcBorders>
            <w:shd w:val="clear" w:color="auto" w:fill="FFFFFF"/>
            <w:noWrap/>
            <w:vAlign w:val="center"/>
          </w:tcPr>
          <w:p w14:paraId="440B51D5"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Ztráty ze znehodnocení finančních nástrojů</w:t>
            </w:r>
          </w:p>
        </w:tc>
        <w:tc>
          <w:tcPr>
            <w:tcW w:w="992" w:type="dxa"/>
            <w:tcBorders>
              <w:top w:val="nil"/>
              <w:left w:val="nil"/>
              <w:bottom w:val="nil"/>
              <w:right w:val="nil"/>
            </w:tcBorders>
            <w:shd w:val="clear" w:color="000000" w:fill="FFFFFF"/>
            <w:vAlign w:val="bottom"/>
          </w:tcPr>
          <w:p w14:paraId="014F2A6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(438)</w:t>
            </w:r>
          </w:p>
        </w:tc>
        <w:tc>
          <w:tcPr>
            <w:tcW w:w="999" w:type="dxa"/>
            <w:gridSpan w:val="3"/>
            <w:tcBorders>
              <w:top w:val="nil"/>
              <w:left w:val="nil"/>
              <w:bottom w:val="nil"/>
              <w:right w:val="nil"/>
            </w:tcBorders>
            <w:shd w:val="solid" w:color="FFFFFF" w:fill="auto"/>
            <w:noWrap/>
            <w:vAlign w:val="bottom"/>
          </w:tcPr>
          <w:p w14:paraId="551B6D77"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(809)</w:t>
            </w:r>
          </w:p>
        </w:tc>
        <w:tc>
          <w:tcPr>
            <w:tcW w:w="851" w:type="dxa"/>
            <w:gridSpan w:val="2"/>
            <w:tcBorders>
              <w:top w:val="nil"/>
              <w:left w:val="nil"/>
              <w:bottom w:val="nil"/>
              <w:right w:val="nil"/>
            </w:tcBorders>
            <w:shd w:val="clear" w:color="auto" w:fill="auto"/>
            <w:noWrap/>
            <w:vAlign w:val="bottom"/>
          </w:tcPr>
          <w:p w14:paraId="18434E38"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(330)</w:t>
            </w:r>
          </w:p>
        </w:tc>
        <w:tc>
          <w:tcPr>
            <w:tcW w:w="1140" w:type="dxa"/>
            <w:gridSpan w:val="2"/>
            <w:tcBorders>
              <w:top w:val="nil"/>
              <w:left w:val="nil"/>
              <w:bottom w:val="nil"/>
              <w:right w:val="nil"/>
            </w:tcBorders>
            <w:shd w:val="clear" w:color="auto" w:fill="auto"/>
            <w:noWrap/>
            <w:vAlign w:val="bottom"/>
          </w:tcPr>
          <w:p w14:paraId="691C6D1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(475)</w:t>
            </w:r>
          </w:p>
        </w:tc>
      </w:tr>
      <w:tr w:rsidR="00865B3C" w:rsidRPr="00865B3C" w14:paraId="50134A85" w14:textId="77777777" w:rsidTr="00865B3C">
        <w:tc>
          <w:tcPr>
            <w:tcW w:w="5800" w:type="dxa"/>
            <w:gridSpan w:val="3"/>
            <w:tcBorders>
              <w:top w:val="nil"/>
              <w:left w:val="nil"/>
              <w:bottom w:val="nil"/>
              <w:right w:val="nil"/>
            </w:tcBorders>
            <w:shd w:val="clear" w:color="auto" w:fill="FFFFFF"/>
            <w:noWrap/>
            <w:vAlign w:val="center"/>
          </w:tcPr>
          <w:p w14:paraId="1528ADDA"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Zisky/(ztráty) z odúčtování finančních aktiv vykázaných v naběhlé hodnotě</w:t>
            </w:r>
          </w:p>
        </w:tc>
        <w:tc>
          <w:tcPr>
            <w:tcW w:w="992" w:type="dxa"/>
            <w:tcBorders>
              <w:top w:val="nil"/>
              <w:left w:val="nil"/>
              <w:bottom w:val="nil"/>
              <w:right w:val="nil"/>
            </w:tcBorders>
            <w:shd w:val="clear" w:color="000000" w:fill="FFFFFF"/>
            <w:vAlign w:val="bottom"/>
          </w:tcPr>
          <w:p w14:paraId="54A24EA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9" w:type="dxa"/>
            <w:gridSpan w:val="3"/>
            <w:tcBorders>
              <w:top w:val="nil"/>
              <w:left w:val="nil"/>
              <w:bottom w:val="nil"/>
              <w:right w:val="nil"/>
            </w:tcBorders>
            <w:shd w:val="solid" w:color="FFFFFF" w:fill="auto"/>
            <w:noWrap/>
            <w:vAlign w:val="bottom"/>
          </w:tcPr>
          <w:p w14:paraId="71B12274"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41</w:t>
            </w:r>
          </w:p>
        </w:tc>
        <w:tc>
          <w:tcPr>
            <w:tcW w:w="851" w:type="dxa"/>
            <w:gridSpan w:val="2"/>
            <w:tcBorders>
              <w:top w:val="nil"/>
              <w:left w:val="nil"/>
              <w:bottom w:val="nil"/>
              <w:right w:val="nil"/>
            </w:tcBorders>
            <w:shd w:val="clear" w:color="auto" w:fill="auto"/>
            <w:noWrap/>
            <w:vAlign w:val="bottom"/>
          </w:tcPr>
          <w:p w14:paraId="3383B3A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w:t>
            </w:r>
          </w:p>
        </w:tc>
        <w:tc>
          <w:tcPr>
            <w:tcW w:w="1140" w:type="dxa"/>
            <w:gridSpan w:val="2"/>
            <w:tcBorders>
              <w:top w:val="nil"/>
              <w:left w:val="nil"/>
              <w:bottom w:val="nil"/>
              <w:right w:val="nil"/>
            </w:tcBorders>
            <w:shd w:val="clear" w:color="auto" w:fill="auto"/>
            <w:noWrap/>
            <w:vAlign w:val="bottom"/>
          </w:tcPr>
          <w:p w14:paraId="5E8FDCB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w:t>
            </w:r>
          </w:p>
        </w:tc>
      </w:tr>
      <w:tr w:rsidR="00865B3C" w:rsidRPr="00865B3C" w14:paraId="5E5E0424" w14:textId="77777777" w:rsidTr="00865B3C">
        <w:tc>
          <w:tcPr>
            <w:tcW w:w="5800" w:type="dxa"/>
            <w:gridSpan w:val="3"/>
            <w:tcBorders>
              <w:top w:val="nil"/>
              <w:left w:val="nil"/>
              <w:bottom w:val="nil"/>
              <w:right w:val="nil"/>
            </w:tcBorders>
            <w:shd w:val="clear" w:color="auto" w:fill="FFFFFF"/>
            <w:noWrap/>
            <w:vAlign w:val="center"/>
          </w:tcPr>
          <w:p w14:paraId="0F1EBBB1"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Náklady na zaměstnance</w:t>
            </w:r>
          </w:p>
        </w:tc>
        <w:tc>
          <w:tcPr>
            <w:tcW w:w="992" w:type="dxa"/>
            <w:tcBorders>
              <w:top w:val="nil"/>
              <w:left w:val="nil"/>
              <w:bottom w:val="nil"/>
              <w:right w:val="nil"/>
            </w:tcBorders>
            <w:shd w:val="clear" w:color="000000" w:fill="FFFFFF"/>
            <w:vAlign w:val="bottom"/>
          </w:tcPr>
          <w:p w14:paraId="291333F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(3 089)</w:t>
            </w:r>
          </w:p>
        </w:tc>
        <w:tc>
          <w:tcPr>
            <w:tcW w:w="999" w:type="dxa"/>
            <w:gridSpan w:val="3"/>
            <w:tcBorders>
              <w:top w:val="nil"/>
              <w:left w:val="nil"/>
              <w:bottom w:val="nil"/>
              <w:right w:val="nil"/>
            </w:tcBorders>
            <w:shd w:val="solid" w:color="FFFFFF" w:fill="auto"/>
            <w:noWrap/>
            <w:vAlign w:val="bottom"/>
          </w:tcPr>
          <w:p w14:paraId="60BC78B2"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(3 003)</w:t>
            </w:r>
          </w:p>
        </w:tc>
        <w:tc>
          <w:tcPr>
            <w:tcW w:w="851" w:type="dxa"/>
            <w:gridSpan w:val="2"/>
            <w:tcBorders>
              <w:top w:val="nil"/>
              <w:left w:val="nil"/>
              <w:bottom w:val="nil"/>
              <w:right w:val="nil"/>
            </w:tcBorders>
            <w:shd w:val="clear" w:color="auto" w:fill="auto"/>
            <w:noWrap/>
            <w:vAlign w:val="bottom"/>
          </w:tcPr>
          <w:p w14:paraId="396F1DD4"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(3 290)</w:t>
            </w:r>
          </w:p>
        </w:tc>
        <w:tc>
          <w:tcPr>
            <w:tcW w:w="1140" w:type="dxa"/>
            <w:gridSpan w:val="2"/>
            <w:tcBorders>
              <w:top w:val="nil"/>
              <w:left w:val="nil"/>
              <w:bottom w:val="nil"/>
              <w:right w:val="nil"/>
            </w:tcBorders>
            <w:shd w:val="clear" w:color="auto" w:fill="auto"/>
            <w:noWrap/>
            <w:vAlign w:val="bottom"/>
          </w:tcPr>
          <w:p w14:paraId="76D82DB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(1 571)</w:t>
            </w:r>
          </w:p>
        </w:tc>
      </w:tr>
      <w:tr w:rsidR="00865B3C" w:rsidRPr="00865B3C" w14:paraId="2D3EB760" w14:textId="77777777" w:rsidTr="00865B3C">
        <w:tc>
          <w:tcPr>
            <w:tcW w:w="5800" w:type="dxa"/>
            <w:gridSpan w:val="3"/>
            <w:tcBorders>
              <w:top w:val="nil"/>
              <w:left w:val="nil"/>
              <w:bottom w:val="nil"/>
              <w:right w:val="nil"/>
            </w:tcBorders>
            <w:shd w:val="clear" w:color="auto" w:fill="FFFFFF"/>
            <w:noWrap/>
            <w:vAlign w:val="center"/>
          </w:tcPr>
          <w:p w14:paraId="57D1CA4B"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Všeobecné provozní náklady</w:t>
            </w:r>
          </w:p>
        </w:tc>
        <w:tc>
          <w:tcPr>
            <w:tcW w:w="992" w:type="dxa"/>
            <w:tcBorders>
              <w:top w:val="nil"/>
              <w:left w:val="nil"/>
              <w:bottom w:val="nil"/>
              <w:right w:val="nil"/>
            </w:tcBorders>
            <w:shd w:val="clear" w:color="auto" w:fill="auto"/>
            <w:vAlign w:val="bottom"/>
          </w:tcPr>
          <w:p w14:paraId="264A8AB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(2 370)</w:t>
            </w:r>
          </w:p>
        </w:tc>
        <w:tc>
          <w:tcPr>
            <w:tcW w:w="999" w:type="dxa"/>
            <w:gridSpan w:val="3"/>
            <w:tcBorders>
              <w:top w:val="nil"/>
              <w:left w:val="nil"/>
              <w:bottom w:val="nil"/>
              <w:right w:val="nil"/>
            </w:tcBorders>
            <w:noWrap/>
            <w:vAlign w:val="bottom"/>
          </w:tcPr>
          <w:p w14:paraId="14B79447"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(2 159)</w:t>
            </w:r>
          </w:p>
        </w:tc>
        <w:tc>
          <w:tcPr>
            <w:tcW w:w="851" w:type="dxa"/>
            <w:gridSpan w:val="2"/>
            <w:tcBorders>
              <w:top w:val="nil"/>
              <w:left w:val="nil"/>
              <w:bottom w:val="nil"/>
              <w:right w:val="nil"/>
            </w:tcBorders>
            <w:shd w:val="clear" w:color="auto" w:fill="auto"/>
            <w:noWrap/>
            <w:vAlign w:val="bottom"/>
          </w:tcPr>
          <w:p w14:paraId="61C01174"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(2 053)</w:t>
            </w:r>
          </w:p>
        </w:tc>
        <w:tc>
          <w:tcPr>
            <w:tcW w:w="1140" w:type="dxa"/>
            <w:gridSpan w:val="2"/>
            <w:tcBorders>
              <w:top w:val="nil"/>
              <w:left w:val="nil"/>
              <w:bottom w:val="nil"/>
              <w:right w:val="nil"/>
            </w:tcBorders>
            <w:shd w:val="clear" w:color="auto" w:fill="auto"/>
            <w:noWrap/>
            <w:vAlign w:val="bottom"/>
          </w:tcPr>
          <w:p w14:paraId="206A68A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(1 159)</w:t>
            </w:r>
          </w:p>
        </w:tc>
      </w:tr>
      <w:tr w:rsidR="00865B3C" w:rsidRPr="00865B3C" w14:paraId="5D574B1E" w14:textId="77777777" w:rsidTr="00865B3C">
        <w:tc>
          <w:tcPr>
            <w:tcW w:w="5800" w:type="dxa"/>
            <w:gridSpan w:val="3"/>
            <w:tcBorders>
              <w:top w:val="nil"/>
              <w:left w:val="nil"/>
              <w:bottom w:val="nil"/>
              <w:right w:val="nil"/>
            </w:tcBorders>
            <w:shd w:val="clear" w:color="auto" w:fill="FFFFFF"/>
            <w:noWrap/>
            <w:vAlign w:val="center"/>
          </w:tcPr>
          <w:p w14:paraId="5A0DA162"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Odpisy hmotného a nehmotného majetku</w:t>
            </w:r>
          </w:p>
        </w:tc>
        <w:tc>
          <w:tcPr>
            <w:tcW w:w="992" w:type="dxa"/>
            <w:tcBorders>
              <w:top w:val="nil"/>
              <w:left w:val="nil"/>
              <w:bottom w:val="nil"/>
              <w:right w:val="nil"/>
            </w:tcBorders>
            <w:shd w:val="clear" w:color="auto" w:fill="auto"/>
            <w:vAlign w:val="bottom"/>
          </w:tcPr>
          <w:p w14:paraId="57F51FB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(583)</w:t>
            </w:r>
          </w:p>
        </w:tc>
        <w:tc>
          <w:tcPr>
            <w:tcW w:w="999" w:type="dxa"/>
            <w:gridSpan w:val="3"/>
            <w:tcBorders>
              <w:top w:val="nil"/>
              <w:left w:val="nil"/>
              <w:bottom w:val="nil"/>
              <w:right w:val="nil"/>
            </w:tcBorders>
            <w:noWrap/>
            <w:vAlign w:val="bottom"/>
          </w:tcPr>
          <w:p w14:paraId="71CDA323"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(656)</w:t>
            </w:r>
          </w:p>
        </w:tc>
        <w:tc>
          <w:tcPr>
            <w:tcW w:w="851" w:type="dxa"/>
            <w:gridSpan w:val="2"/>
            <w:tcBorders>
              <w:top w:val="nil"/>
              <w:left w:val="nil"/>
              <w:bottom w:val="nil"/>
              <w:right w:val="nil"/>
            </w:tcBorders>
            <w:shd w:val="clear" w:color="auto" w:fill="auto"/>
            <w:noWrap/>
            <w:vAlign w:val="bottom"/>
          </w:tcPr>
          <w:p w14:paraId="78F86DBF"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(1 319)</w:t>
            </w:r>
          </w:p>
        </w:tc>
        <w:tc>
          <w:tcPr>
            <w:tcW w:w="1140" w:type="dxa"/>
            <w:gridSpan w:val="2"/>
            <w:tcBorders>
              <w:top w:val="nil"/>
              <w:left w:val="nil"/>
              <w:bottom w:val="nil"/>
              <w:right w:val="nil"/>
            </w:tcBorders>
            <w:shd w:val="clear" w:color="auto" w:fill="auto"/>
            <w:noWrap/>
            <w:vAlign w:val="bottom"/>
          </w:tcPr>
          <w:p w14:paraId="6D97384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(567)</w:t>
            </w:r>
          </w:p>
        </w:tc>
      </w:tr>
      <w:tr w:rsidR="00865B3C" w:rsidRPr="00865B3C" w14:paraId="1A235A92" w14:textId="77777777" w:rsidTr="00865B3C">
        <w:tc>
          <w:tcPr>
            <w:tcW w:w="5800" w:type="dxa"/>
            <w:gridSpan w:val="3"/>
            <w:tcBorders>
              <w:top w:val="nil"/>
              <w:left w:val="nil"/>
              <w:right w:val="nil"/>
            </w:tcBorders>
            <w:shd w:val="clear" w:color="auto" w:fill="FFFFFF"/>
            <w:noWrap/>
            <w:vAlign w:val="center"/>
          </w:tcPr>
          <w:p w14:paraId="78E9AED0"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Ostatní provozní výnosy</w:t>
            </w:r>
          </w:p>
        </w:tc>
        <w:tc>
          <w:tcPr>
            <w:tcW w:w="992" w:type="dxa"/>
            <w:tcBorders>
              <w:top w:val="nil"/>
              <w:left w:val="nil"/>
              <w:bottom w:val="nil"/>
              <w:right w:val="nil"/>
            </w:tcBorders>
            <w:shd w:val="clear" w:color="auto" w:fill="auto"/>
            <w:vAlign w:val="bottom"/>
          </w:tcPr>
          <w:p w14:paraId="37E4578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69</w:t>
            </w:r>
          </w:p>
        </w:tc>
        <w:tc>
          <w:tcPr>
            <w:tcW w:w="999" w:type="dxa"/>
            <w:gridSpan w:val="3"/>
            <w:tcBorders>
              <w:top w:val="nil"/>
              <w:left w:val="nil"/>
              <w:bottom w:val="nil"/>
              <w:right w:val="nil"/>
            </w:tcBorders>
            <w:noWrap/>
            <w:vAlign w:val="bottom"/>
          </w:tcPr>
          <w:p w14:paraId="4DFD9FBE"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126</w:t>
            </w:r>
          </w:p>
        </w:tc>
        <w:tc>
          <w:tcPr>
            <w:tcW w:w="851" w:type="dxa"/>
            <w:gridSpan w:val="2"/>
            <w:tcBorders>
              <w:top w:val="nil"/>
              <w:left w:val="nil"/>
              <w:bottom w:val="nil"/>
              <w:right w:val="nil"/>
            </w:tcBorders>
            <w:shd w:val="clear" w:color="auto" w:fill="auto"/>
            <w:noWrap/>
            <w:vAlign w:val="bottom"/>
          </w:tcPr>
          <w:p w14:paraId="15E6187D"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259</w:t>
            </w:r>
          </w:p>
        </w:tc>
        <w:tc>
          <w:tcPr>
            <w:tcW w:w="1140" w:type="dxa"/>
            <w:gridSpan w:val="2"/>
            <w:tcBorders>
              <w:top w:val="nil"/>
              <w:left w:val="nil"/>
              <w:bottom w:val="nil"/>
              <w:right w:val="nil"/>
            </w:tcBorders>
            <w:shd w:val="clear" w:color="auto" w:fill="auto"/>
            <w:noWrap/>
            <w:vAlign w:val="bottom"/>
          </w:tcPr>
          <w:p w14:paraId="37462C6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79</w:t>
            </w:r>
          </w:p>
        </w:tc>
      </w:tr>
      <w:tr w:rsidR="00865B3C" w:rsidRPr="00865B3C" w14:paraId="07B96757" w14:textId="77777777" w:rsidTr="00865B3C">
        <w:tc>
          <w:tcPr>
            <w:tcW w:w="5800" w:type="dxa"/>
            <w:gridSpan w:val="3"/>
            <w:tcBorders>
              <w:top w:val="nil"/>
              <w:left w:val="nil"/>
              <w:right w:val="nil"/>
            </w:tcBorders>
            <w:shd w:val="clear" w:color="auto" w:fill="FFFFFF"/>
            <w:noWrap/>
            <w:vAlign w:val="center"/>
          </w:tcPr>
          <w:p w14:paraId="59564803"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Ostatní provozní náklady</w:t>
            </w:r>
          </w:p>
        </w:tc>
        <w:tc>
          <w:tcPr>
            <w:tcW w:w="992" w:type="dxa"/>
            <w:tcBorders>
              <w:top w:val="nil"/>
              <w:left w:val="nil"/>
              <w:bottom w:val="nil"/>
              <w:right w:val="nil"/>
            </w:tcBorders>
            <w:shd w:val="clear" w:color="auto" w:fill="auto"/>
            <w:vAlign w:val="bottom"/>
          </w:tcPr>
          <w:p w14:paraId="5E15850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(106)</w:t>
            </w:r>
          </w:p>
        </w:tc>
        <w:tc>
          <w:tcPr>
            <w:tcW w:w="999" w:type="dxa"/>
            <w:gridSpan w:val="3"/>
            <w:tcBorders>
              <w:top w:val="nil"/>
              <w:left w:val="nil"/>
              <w:bottom w:val="single" w:sz="4" w:space="0" w:color="auto"/>
              <w:right w:val="nil"/>
            </w:tcBorders>
            <w:noWrap/>
            <w:vAlign w:val="bottom"/>
          </w:tcPr>
          <w:p w14:paraId="7A9DA453"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(33)</w:t>
            </w:r>
          </w:p>
        </w:tc>
        <w:tc>
          <w:tcPr>
            <w:tcW w:w="851" w:type="dxa"/>
            <w:gridSpan w:val="2"/>
            <w:tcBorders>
              <w:top w:val="nil"/>
              <w:left w:val="nil"/>
              <w:bottom w:val="nil"/>
              <w:right w:val="nil"/>
            </w:tcBorders>
            <w:shd w:val="clear" w:color="auto" w:fill="auto"/>
            <w:noWrap/>
            <w:vAlign w:val="bottom"/>
          </w:tcPr>
          <w:p w14:paraId="0CB6003D"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(48)</w:t>
            </w:r>
          </w:p>
        </w:tc>
        <w:tc>
          <w:tcPr>
            <w:tcW w:w="1140" w:type="dxa"/>
            <w:gridSpan w:val="2"/>
            <w:tcBorders>
              <w:top w:val="nil"/>
              <w:left w:val="nil"/>
              <w:bottom w:val="nil"/>
              <w:right w:val="nil"/>
            </w:tcBorders>
            <w:shd w:val="clear" w:color="auto" w:fill="auto"/>
            <w:noWrap/>
            <w:vAlign w:val="bottom"/>
          </w:tcPr>
          <w:p w14:paraId="3D33CFD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(100)</w:t>
            </w:r>
          </w:p>
        </w:tc>
      </w:tr>
      <w:tr w:rsidR="00865B3C" w:rsidRPr="00865B3C" w14:paraId="4CDDEAC6" w14:textId="77777777" w:rsidTr="00865B3C">
        <w:tc>
          <w:tcPr>
            <w:tcW w:w="5800" w:type="dxa"/>
            <w:gridSpan w:val="3"/>
            <w:tcBorders>
              <w:top w:val="single" w:sz="8" w:space="0" w:color="auto"/>
              <w:left w:val="nil"/>
              <w:bottom w:val="single" w:sz="8" w:space="0" w:color="auto"/>
              <w:right w:val="nil"/>
            </w:tcBorders>
            <w:shd w:val="clear" w:color="auto" w:fill="FFFF99"/>
            <w:noWrap/>
            <w:vAlign w:val="center"/>
          </w:tcPr>
          <w:p w14:paraId="6EBE2E39" w14:textId="77777777" w:rsidR="00865B3C" w:rsidRPr="00865B3C" w:rsidRDefault="00865B3C" w:rsidP="00856149">
            <w:pPr>
              <w:spacing w:after="0" w:line="276" w:lineRule="auto"/>
              <w:ind w:left="-80"/>
              <w:jc w:val="both"/>
              <w:rPr>
                <w:rFonts w:eastAsia="Times New Roman" w:cs="Times New Roman"/>
                <w:b/>
                <w:bCs/>
                <w:sz w:val="20"/>
                <w:szCs w:val="20"/>
              </w:rPr>
            </w:pPr>
            <w:r w:rsidRPr="00865B3C">
              <w:rPr>
                <w:rFonts w:eastAsia="Times New Roman" w:cs="Times New Roman"/>
                <w:b/>
                <w:bCs/>
                <w:sz w:val="20"/>
                <w:szCs w:val="20"/>
              </w:rPr>
              <w:t>Zisk před daní z příjmů</w:t>
            </w:r>
          </w:p>
        </w:tc>
        <w:tc>
          <w:tcPr>
            <w:tcW w:w="992" w:type="dxa"/>
            <w:tcBorders>
              <w:top w:val="single" w:sz="8" w:space="0" w:color="auto"/>
              <w:left w:val="nil"/>
              <w:bottom w:val="single" w:sz="8" w:space="0" w:color="auto"/>
              <w:right w:val="nil"/>
            </w:tcBorders>
            <w:shd w:val="clear" w:color="000000" w:fill="FFFF99"/>
            <w:vAlign w:val="bottom"/>
          </w:tcPr>
          <w:p w14:paraId="110034B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3 925</w:t>
            </w:r>
          </w:p>
        </w:tc>
        <w:tc>
          <w:tcPr>
            <w:tcW w:w="999" w:type="dxa"/>
            <w:gridSpan w:val="3"/>
            <w:tcBorders>
              <w:top w:val="single" w:sz="4" w:space="0" w:color="auto"/>
              <w:left w:val="nil"/>
              <w:bottom w:val="single" w:sz="4" w:space="0" w:color="auto"/>
              <w:right w:val="nil"/>
            </w:tcBorders>
            <w:shd w:val="solid" w:color="FFFF99" w:fill="auto"/>
            <w:noWrap/>
            <w:vAlign w:val="bottom"/>
          </w:tcPr>
          <w:p w14:paraId="4FF27165"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4 176</w:t>
            </w:r>
          </w:p>
        </w:tc>
        <w:tc>
          <w:tcPr>
            <w:tcW w:w="851" w:type="dxa"/>
            <w:gridSpan w:val="2"/>
            <w:tcBorders>
              <w:top w:val="single" w:sz="8" w:space="0" w:color="auto"/>
              <w:left w:val="nil"/>
              <w:bottom w:val="single" w:sz="4" w:space="0" w:color="auto"/>
              <w:right w:val="nil"/>
            </w:tcBorders>
            <w:shd w:val="clear" w:color="000000" w:fill="FFFF99"/>
            <w:noWrap/>
            <w:vAlign w:val="bottom"/>
          </w:tcPr>
          <w:p w14:paraId="22F51CA4"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4 915</w:t>
            </w:r>
          </w:p>
        </w:tc>
        <w:tc>
          <w:tcPr>
            <w:tcW w:w="1140" w:type="dxa"/>
            <w:gridSpan w:val="2"/>
            <w:tcBorders>
              <w:top w:val="single" w:sz="8" w:space="0" w:color="auto"/>
              <w:left w:val="nil"/>
              <w:bottom w:val="single" w:sz="8" w:space="0" w:color="auto"/>
              <w:right w:val="nil"/>
            </w:tcBorders>
            <w:shd w:val="clear" w:color="auto" w:fill="FFFF99"/>
            <w:noWrap/>
            <w:vAlign w:val="bottom"/>
          </w:tcPr>
          <w:p w14:paraId="3058771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1 526</w:t>
            </w:r>
          </w:p>
        </w:tc>
      </w:tr>
      <w:tr w:rsidR="00865B3C" w:rsidRPr="00865B3C" w14:paraId="3D9A09CF" w14:textId="77777777" w:rsidTr="00865B3C">
        <w:tc>
          <w:tcPr>
            <w:tcW w:w="5800" w:type="dxa"/>
            <w:gridSpan w:val="3"/>
            <w:tcBorders>
              <w:top w:val="single" w:sz="8" w:space="0" w:color="auto"/>
              <w:left w:val="nil"/>
              <w:bottom w:val="single" w:sz="4" w:space="0" w:color="auto"/>
              <w:right w:val="nil"/>
            </w:tcBorders>
            <w:shd w:val="clear" w:color="auto" w:fill="FFFFFF"/>
            <w:noWrap/>
            <w:vAlign w:val="center"/>
          </w:tcPr>
          <w:p w14:paraId="78848EF5"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Daň z příjmů</w:t>
            </w:r>
          </w:p>
        </w:tc>
        <w:tc>
          <w:tcPr>
            <w:tcW w:w="992" w:type="dxa"/>
            <w:tcBorders>
              <w:top w:val="nil"/>
              <w:left w:val="nil"/>
              <w:bottom w:val="single" w:sz="8" w:space="0" w:color="auto"/>
              <w:right w:val="nil"/>
            </w:tcBorders>
            <w:shd w:val="clear" w:color="auto" w:fill="auto"/>
            <w:vAlign w:val="bottom"/>
          </w:tcPr>
          <w:p w14:paraId="106D55D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(1 100)</w:t>
            </w:r>
          </w:p>
        </w:tc>
        <w:tc>
          <w:tcPr>
            <w:tcW w:w="999" w:type="dxa"/>
            <w:gridSpan w:val="3"/>
            <w:tcBorders>
              <w:top w:val="single" w:sz="4" w:space="0" w:color="auto"/>
              <w:left w:val="nil"/>
              <w:bottom w:val="single" w:sz="4" w:space="0" w:color="auto"/>
              <w:right w:val="nil"/>
            </w:tcBorders>
            <w:noWrap/>
            <w:vAlign w:val="bottom"/>
          </w:tcPr>
          <w:p w14:paraId="4D824D34"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(811)</w:t>
            </w:r>
          </w:p>
        </w:tc>
        <w:tc>
          <w:tcPr>
            <w:tcW w:w="851" w:type="dxa"/>
            <w:gridSpan w:val="2"/>
            <w:tcBorders>
              <w:top w:val="single" w:sz="4" w:space="0" w:color="auto"/>
              <w:left w:val="nil"/>
              <w:bottom w:val="nil"/>
              <w:right w:val="nil"/>
            </w:tcBorders>
            <w:shd w:val="clear" w:color="auto" w:fill="auto"/>
            <w:noWrap/>
            <w:vAlign w:val="bottom"/>
          </w:tcPr>
          <w:p w14:paraId="1AD89DA8"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(727)</w:t>
            </w:r>
          </w:p>
        </w:tc>
        <w:tc>
          <w:tcPr>
            <w:tcW w:w="1140" w:type="dxa"/>
            <w:gridSpan w:val="2"/>
            <w:tcBorders>
              <w:top w:val="nil"/>
              <w:left w:val="nil"/>
              <w:bottom w:val="single" w:sz="8" w:space="0" w:color="auto"/>
              <w:right w:val="nil"/>
            </w:tcBorders>
            <w:shd w:val="clear" w:color="auto" w:fill="auto"/>
            <w:noWrap/>
            <w:vAlign w:val="bottom"/>
          </w:tcPr>
          <w:p w14:paraId="032500B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(188)</w:t>
            </w:r>
          </w:p>
        </w:tc>
      </w:tr>
      <w:tr w:rsidR="00865B3C" w:rsidRPr="00865B3C" w14:paraId="6AE41F83" w14:textId="77777777" w:rsidTr="00865B3C">
        <w:tc>
          <w:tcPr>
            <w:tcW w:w="5800" w:type="dxa"/>
            <w:gridSpan w:val="3"/>
            <w:tcBorders>
              <w:top w:val="single" w:sz="4" w:space="0" w:color="auto"/>
              <w:left w:val="nil"/>
              <w:bottom w:val="single" w:sz="4" w:space="0" w:color="auto"/>
              <w:right w:val="nil"/>
            </w:tcBorders>
            <w:shd w:val="clear" w:color="auto" w:fill="FFFF99"/>
            <w:noWrap/>
            <w:vAlign w:val="center"/>
          </w:tcPr>
          <w:p w14:paraId="5977180D" w14:textId="77777777" w:rsidR="00865B3C" w:rsidRPr="00865B3C" w:rsidRDefault="00865B3C" w:rsidP="00856149">
            <w:pPr>
              <w:overflowPunct w:val="0"/>
              <w:autoSpaceDE w:val="0"/>
              <w:autoSpaceDN w:val="0"/>
              <w:adjustRightInd w:val="0"/>
              <w:spacing w:before="20" w:after="20" w:line="276" w:lineRule="auto"/>
              <w:ind w:left="-80" w:right="-70"/>
              <w:jc w:val="both"/>
              <w:textAlignment w:val="baseline"/>
              <w:rPr>
                <w:rFonts w:eastAsia="Times New Roman" w:cs="Times New Roman"/>
                <w:b/>
                <w:sz w:val="20"/>
                <w:szCs w:val="20"/>
              </w:rPr>
            </w:pPr>
            <w:r w:rsidRPr="00865B3C">
              <w:rPr>
                <w:rFonts w:eastAsia="Times New Roman" w:cs="Times New Roman"/>
                <w:b/>
                <w:bCs/>
                <w:sz w:val="20"/>
                <w:szCs w:val="20"/>
              </w:rPr>
              <w:t>Čistý zisk za účetní období náležející akcionářům Banky</w:t>
            </w:r>
          </w:p>
        </w:tc>
        <w:tc>
          <w:tcPr>
            <w:tcW w:w="992" w:type="dxa"/>
            <w:tcBorders>
              <w:top w:val="nil"/>
              <w:left w:val="nil"/>
              <w:bottom w:val="single" w:sz="8" w:space="0" w:color="auto"/>
              <w:right w:val="nil"/>
            </w:tcBorders>
            <w:shd w:val="clear" w:color="000000" w:fill="FFFF99"/>
            <w:vAlign w:val="bottom"/>
          </w:tcPr>
          <w:p w14:paraId="48E2910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2 825</w:t>
            </w:r>
          </w:p>
        </w:tc>
        <w:tc>
          <w:tcPr>
            <w:tcW w:w="999" w:type="dxa"/>
            <w:gridSpan w:val="3"/>
            <w:tcBorders>
              <w:top w:val="single" w:sz="4" w:space="0" w:color="auto"/>
              <w:left w:val="nil"/>
              <w:bottom w:val="single" w:sz="4" w:space="0" w:color="auto"/>
              <w:right w:val="nil"/>
            </w:tcBorders>
            <w:shd w:val="solid" w:color="FFFF99" w:fill="auto"/>
            <w:noWrap/>
            <w:vAlign w:val="bottom"/>
          </w:tcPr>
          <w:p w14:paraId="36E18484"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3 365</w:t>
            </w:r>
          </w:p>
        </w:tc>
        <w:tc>
          <w:tcPr>
            <w:tcW w:w="851" w:type="dxa"/>
            <w:gridSpan w:val="2"/>
            <w:tcBorders>
              <w:top w:val="single" w:sz="8" w:space="0" w:color="auto"/>
              <w:left w:val="nil"/>
              <w:bottom w:val="single" w:sz="4" w:space="0" w:color="auto"/>
              <w:right w:val="nil"/>
            </w:tcBorders>
            <w:shd w:val="clear" w:color="000000" w:fill="FFFF99"/>
            <w:noWrap/>
            <w:vAlign w:val="bottom"/>
          </w:tcPr>
          <w:p w14:paraId="04A59BCA"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4 188</w:t>
            </w:r>
          </w:p>
        </w:tc>
        <w:tc>
          <w:tcPr>
            <w:tcW w:w="1140" w:type="dxa"/>
            <w:gridSpan w:val="2"/>
            <w:tcBorders>
              <w:top w:val="single" w:sz="8" w:space="0" w:color="auto"/>
              <w:left w:val="nil"/>
              <w:bottom w:val="single" w:sz="4" w:space="0" w:color="auto"/>
              <w:right w:val="nil"/>
            </w:tcBorders>
            <w:shd w:val="clear" w:color="auto" w:fill="FFFF99"/>
            <w:noWrap/>
            <w:vAlign w:val="bottom"/>
          </w:tcPr>
          <w:p w14:paraId="6056541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1 338</w:t>
            </w:r>
          </w:p>
        </w:tc>
      </w:tr>
      <w:tr w:rsidR="00865B3C" w:rsidRPr="00865B3C" w14:paraId="562C10EB" w14:textId="77777777" w:rsidTr="00865B3C">
        <w:trPr>
          <w:trHeight w:val="289"/>
        </w:trPr>
        <w:tc>
          <w:tcPr>
            <w:tcW w:w="5800" w:type="dxa"/>
            <w:gridSpan w:val="3"/>
            <w:tcBorders>
              <w:top w:val="single" w:sz="4" w:space="0" w:color="auto"/>
              <w:left w:val="nil"/>
              <w:bottom w:val="single" w:sz="4" w:space="0" w:color="auto"/>
              <w:right w:val="nil"/>
            </w:tcBorders>
            <w:shd w:val="clear" w:color="auto" w:fill="auto"/>
            <w:noWrap/>
            <w:vAlign w:val="center"/>
          </w:tcPr>
          <w:p w14:paraId="4C99D0C9" w14:textId="77777777" w:rsidR="00865B3C" w:rsidRPr="00865B3C" w:rsidRDefault="00865B3C" w:rsidP="00856149">
            <w:pPr>
              <w:overflowPunct w:val="0"/>
              <w:autoSpaceDE w:val="0"/>
              <w:autoSpaceDN w:val="0"/>
              <w:adjustRightInd w:val="0"/>
              <w:spacing w:before="20" w:after="20" w:line="276" w:lineRule="auto"/>
              <w:ind w:left="-80" w:right="-70"/>
              <w:jc w:val="both"/>
              <w:textAlignment w:val="baseline"/>
              <w:rPr>
                <w:rFonts w:eastAsia="Times New Roman" w:cs="Times New Roman"/>
                <w:b/>
                <w:bCs/>
                <w:sz w:val="20"/>
                <w:szCs w:val="20"/>
              </w:rPr>
            </w:pPr>
          </w:p>
        </w:tc>
        <w:tc>
          <w:tcPr>
            <w:tcW w:w="992" w:type="dxa"/>
            <w:tcBorders>
              <w:top w:val="single" w:sz="4" w:space="0" w:color="auto"/>
              <w:left w:val="nil"/>
              <w:bottom w:val="single" w:sz="4" w:space="0" w:color="auto"/>
              <w:right w:val="nil"/>
            </w:tcBorders>
            <w:vAlign w:val="bottom"/>
          </w:tcPr>
          <w:p w14:paraId="43EB93F3"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b/>
                <w:bCs/>
                <w:color w:val="000000"/>
                <w:sz w:val="20"/>
                <w:szCs w:val="20"/>
              </w:rPr>
            </w:pPr>
          </w:p>
        </w:tc>
        <w:tc>
          <w:tcPr>
            <w:tcW w:w="999" w:type="dxa"/>
            <w:gridSpan w:val="3"/>
            <w:tcBorders>
              <w:top w:val="single" w:sz="4" w:space="0" w:color="auto"/>
              <w:left w:val="nil"/>
              <w:bottom w:val="single" w:sz="4" w:space="0" w:color="auto"/>
              <w:right w:val="nil"/>
            </w:tcBorders>
            <w:shd w:val="clear" w:color="auto" w:fill="auto"/>
            <w:noWrap/>
            <w:vAlign w:val="bottom"/>
          </w:tcPr>
          <w:p w14:paraId="3F979E74"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b/>
                <w:bCs/>
                <w:color w:val="000000"/>
                <w:sz w:val="20"/>
                <w:szCs w:val="20"/>
              </w:rPr>
            </w:pPr>
          </w:p>
        </w:tc>
        <w:tc>
          <w:tcPr>
            <w:tcW w:w="851" w:type="dxa"/>
            <w:gridSpan w:val="2"/>
            <w:tcBorders>
              <w:top w:val="single" w:sz="4" w:space="0" w:color="auto"/>
              <w:left w:val="nil"/>
              <w:bottom w:val="single" w:sz="4" w:space="0" w:color="auto"/>
              <w:right w:val="nil"/>
            </w:tcBorders>
            <w:shd w:val="clear" w:color="auto" w:fill="auto"/>
            <w:noWrap/>
            <w:vAlign w:val="bottom"/>
          </w:tcPr>
          <w:p w14:paraId="36A6A56D"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b/>
                <w:bCs/>
                <w:color w:val="000000"/>
                <w:sz w:val="20"/>
                <w:szCs w:val="20"/>
              </w:rPr>
            </w:pPr>
          </w:p>
        </w:tc>
        <w:tc>
          <w:tcPr>
            <w:tcW w:w="1140" w:type="dxa"/>
            <w:gridSpan w:val="2"/>
            <w:tcBorders>
              <w:top w:val="single" w:sz="4" w:space="0" w:color="auto"/>
              <w:left w:val="nil"/>
              <w:bottom w:val="single" w:sz="4" w:space="0" w:color="auto"/>
              <w:right w:val="nil"/>
            </w:tcBorders>
            <w:shd w:val="clear" w:color="auto" w:fill="auto"/>
            <w:noWrap/>
            <w:vAlign w:val="bottom"/>
          </w:tcPr>
          <w:p w14:paraId="322525E8"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p>
        </w:tc>
      </w:tr>
      <w:tr w:rsidR="00865B3C" w:rsidRPr="00865B3C" w14:paraId="7EC3062E" w14:textId="77777777" w:rsidTr="00865B3C">
        <w:tc>
          <w:tcPr>
            <w:tcW w:w="5800" w:type="dxa"/>
            <w:gridSpan w:val="3"/>
            <w:tcBorders>
              <w:top w:val="single" w:sz="4" w:space="0" w:color="auto"/>
              <w:left w:val="nil"/>
              <w:bottom w:val="single" w:sz="4" w:space="0" w:color="auto"/>
              <w:right w:val="nil"/>
            </w:tcBorders>
            <w:shd w:val="clear" w:color="auto" w:fill="FFFF99"/>
            <w:noWrap/>
            <w:vAlign w:val="center"/>
          </w:tcPr>
          <w:p w14:paraId="7391E6D4" w14:textId="77777777" w:rsidR="00865B3C" w:rsidRPr="00865B3C" w:rsidRDefault="00865B3C" w:rsidP="00856149">
            <w:pPr>
              <w:overflowPunct w:val="0"/>
              <w:autoSpaceDE w:val="0"/>
              <w:autoSpaceDN w:val="0"/>
              <w:adjustRightInd w:val="0"/>
              <w:spacing w:before="20" w:after="20" w:line="276" w:lineRule="auto"/>
              <w:ind w:left="-80" w:right="-70"/>
              <w:jc w:val="both"/>
              <w:textAlignment w:val="baseline"/>
              <w:rPr>
                <w:rFonts w:eastAsia="Times New Roman" w:cs="Times New Roman"/>
                <w:b/>
                <w:bCs/>
                <w:sz w:val="20"/>
                <w:szCs w:val="20"/>
              </w:rPr>
            </w:pPr>
            <w:r w:rsidRPr="00865B3C">
              <w:rPr>
                <w:rFonts w:eastAsia="Times New Roman" w:cs="Times New Roman"/>
                <w:b/>
                <w:bCs/>
                <w:sz w:val="20"/>
                <w:szCs w:val="20"/>
              </w:rPr>
              <w:t>Ostatní úplný výsledek</w:t>
            </w:r>
          </w:p>
        </w:tc>
        <w:tc>
          <w:tcPr>
            <w:tcW w:w="992" w:type="dxa"/>
            <w:tcBorders>
              <w:top w:val="single" w:sz="4" w:space="0" w:color="auto"/>
              <w:left w:val="nil"/>
              <w:bottom w:val="single" w:sz="4" w:space="0" w:color="auto"/>
              <w:right w:val="nil"/>
            </w:tcBorders>
            <w:shd w:val="clear" w:color="auto" w:fill="FFFF99"/>
            <w:vAlign w:val="bottom"/>
          </w:tcPr>
          <w:p w14:paraId="3F513C9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p>
        </w:tc>
        <w:tc>
          <w:tcPr>
            <w:tcW w:w="999" w:type="dxa"/>
            <w:gridSpan w:val="3"/>
            <w:tcBorders>
              <w:top w:val="single" w:sz="4" w:space="0" w:color="auto"/>
              <w:left w:val="nil"/>
              <w:bottom w:val="single" w:sz="4" w:space="0" w:color="auto"/>
              <w:right w:val="nil"/>
            </w:tcBorders>
            <w:shd w:val="clear" w:color="auto" w:fill="FFFF99"/>
            <w:noWrap/>
            <w:vAlign w:val="bottom"/>
          </w:tcPr>
          <w:p w14:paraId="2A8E442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p>
        </w:tc>
        <w:tc>
          <w:tcPr>
            <w:tcW w:w="851" w:type="dxa"/>
            <w:gridSpan w:val="2"/>
            <w:tcBorders>
              <w:top w:val="single" w:sz="4" w:space="0" w:color="auto"/>
              <w:left w:val="nil"/>
              <w:bottom w:val="single" w:sz="4" w:space="0" w:color="auto"/>
              <w:right w:val="nil"/>
            </w:tcBorders>
            <w:shd w:val="clear" w:color="auto" w:fill="FFFF99"/>
            <w:noWrap/>
            <w:vAlign w:val="bottom"/>
          </w:tcPr>
          <w:p w14:paraId="2ED930B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p>
        </w:tc>
        <w:tc>
          <w:tcPr>
            <w:tcW w:w="1140" w:type="dxa"/>
            <w:gridSpan w:val="2"/>
            <w:tcBorders>
              <w:top w:val="single" w:sz="4" w:space="0" w:color="auto"/>
              <w:left w:val="nil"/>
              <w:bottom w:val="single" w:sz="8" w:space="0" w:color="auto"/>
              <w:right w:val="nil"/>
            </w:tcBorders>
            <w:shd w:val="clear" w:color="000000" w:fill="FFFF99"/>
            <w:noWrap/>
            <w:vAlign w:val="bottom"/>
          </w:tcPr>
          <w:p w14:paraId="5D2F685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p>
        </w:tc>
      </w:tr>
      <w:tr w:rsidR="00865B3C" w:rsidRPr="00865B3C" w14:paraId="642638CB" w14:textId="77777777" w:rsidTr="00865B3C">
        <w:tc>
          <w:tcPr>
            <w:tcW w:w="5800" w:type="dxa"/>
            <w:gridSpan w:val="3"/>
            <w:tcBorders>
              <w:top w:val="single" w:sz="4" w:space="0" w:color="auto"/>
              <w:left w:val="nil"/>
              <w:right w:val="nil"/>
            </w:tcBorders>
            <w:shd w:val="clear" w:color="auto" w:fill="auto"/>
            <w:noWrap/>
            <w:vAlign w:val="center"/>
          </w:tcPr>
          <w:p w14:paraId="1AD1097A" w14:textId="77777777" w:rsidR="00865B3C" w:rsidRPr="00865B3C" w:rsidRDefault="00865B3C" w:rsidP="00856149">
            <w:pPr>
              <w:overflowPunct w:val="0"/>
              <w:autoSpaceDE w:val="0"/>
              <w:autoSpaceDN w:val="0"/>
              <w:adjustRightInd w:val="0"/>
              <w:spacing w:after="0" w:line="276" w:lineRule="auto"/>
              <w:ind w:left="-108" w:right="-28"/>
              <w:jc w:val="both"/>
              <w:textAlignment w:val="baseline"/>
              <w:rPr>
                <w:rFonts w:eastAsia="Times New Roman" w:cs="Times New Roman"/>
                <w:bCs/>
                <w:sz w:val="20"/>
                <w:szCs w:val="20"/>
              </w:rPr>
            </w:pPr>
            <w:r w:rsidRPr="00865B3C">
              <w:rPr>
                <w:rFonts w:eastAsia="Times New Roman" w:cs="Times New Roman"/>
                <w:b/>
                <w:color w:val="000000"/>
                <w:sz w:val="20"/>
                <w:szCs w:val="20"/>
              </w:rPr>
              <w:t>Položky, které nebudou v budoucnu převedeny do výkazu zisku a ztráty:</w:t>
            </w:r>
          </w:p>
        </w:tc>
        <w:tc>
          <w:tcPr>
            <w:tcW w:w="992" w:type="dxa"/>
            <w:tcBorders>
              <w:top w:val="single" w:sz="4" w:space="0" w:color="auto"/>
              <w:left w:val="nil"/>
              <w:right w:val="nil"/>
            </w:tcBorders>
            <w:shd w:val="clear" w:color="auto" w:fill="auto"/>
            <w:vAlign w:val="bottom"/>
          </w:tcPr>
          <w:p w14:paraId="60653D0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p>
        </w:tc>
        <w:tc>
          <w:tcPr>
            <w:tcW w:w="999" w:type="dxa"/>
            <w:gridSpan w:val="3"/>
            <w:tcBorders>
              <w:top w:val="single" w:sz="4" w:space="0" w:color="auto"/>
              <w:left w:val="nil"/>
              <w:right w:val="nil"/>
            </w:tcBorders>
            <w:shd w:val="clear" w:color="auto" w:fill="auto"/>
            <w:noWrap/>
            <w:vAlign w:val="bottom"/>
          </w:tcPr>
          <w:p w14:paraId="26E3EA4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p>
        </w:tc>
        <w:tc>
          <w:tcPr>
            <w:tcW w:w="851" w:type="dxa"/>
            <w:gridSpan w:val="2"/>
            <w:tcBorders>
              <w:top w:val="single" w:sz="4" w:space="0" w:color="auto"/>
              <w:left w:val="nil"/>
              <w:right w:val="nil"/>
            </w:tcBorders>
            <w:shd w:val="clear" w:color="auto" w:fill="auto"/>
            <w:noWrap/>
            <w:vAlign w:val="bottom"/>
          </w:tcPr>
          <w:p w14:paraId="109E5A8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p>
        </w:tc>
        <w:tc>
          <w:tcPr>
            <w:tcW w:w="1140" w:type="dxa"/>
            <w:gridSpan w:val="2"/>
            <w:tcBorders>
              <w:top w:val="nil"/>
              <w:left w:val="nil"/>
              <w:bottom w:val="nil"/>
              <w:right w:val="nil"/>
            </w:tcBorders>
            <w:shd w:val="clear" w:color="auto" w:fill="auto"/>
            <w:noWrap/>
            <w:vAlign w:val="bottom"/>
          </w:tcPr>
          <w:p w14:paraId="2603357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p>
        </w:tc>
      </w:tr>
      <w:tr w:rsidR="00865B3C" w:rsidRPr="00865B3C" w14:paraId="27C52034" w14:textId="77777777" w:rsidTr="00865B3C">
        <w:trPr>
          <w:trHeight w:val="121"/>
        </w:trPr>
        <w:tc>
          <w:tcPr>
            <w:tcW w:w="5800" w:type="dxa"/>
            <w:gridSpan w:val="3"/>
            <w:tcBorders>
              <w:left w:val="nil"/>
              <w:right w:val="nil"/>
            </w:tcBorders>
            <w:shd w:val="clear" w:color="auto" w:fill="auto"/>
            <w:noWrap/>
            <w:vAlign w:val="center"/>
          </w:tcPr>
          <w:p w14:paraId="295DB08B"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Zisky/(ztráty) z přecenění  majetkových cenných papírů oceňovaných v reálné hodnotě vykázané do ostatního úplného výsledku</w:t>
            </w:r>
          </w:p>
        </w:tc>
        <w:tc>
          <w:tcPr>
            <w:tcW w:w="992" w:type="dxa"/>
            <w:tcBorders>
              <w:left w:val="nil"/>
              <w:right w:val="nil"/>
            </w:tcBorders>
            <w:shd w:val="clear" w:color="auto" w:fill="auto"/>
            <w:vAlign w:val="bottom"/>
          </w:tcPr>
          <w:p w14:paraId="0A4A947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FF0000"/>
                <w:sz w:val="20"/>
                <w:szCs w:val="20"/>
              </w:rPr>
            </w:pPr>
            <w:r w:rsidRPr="00865B3C">
              <w:rPr>
                <w:rFonts w:eastAsia="Times New Roman" w:cs="Times New Roman"/>
                <w:color w:val="000000"/>
                <w:sz w:val="20"/>
                <w:szCs w:val="20"/>
              </w:rPr>
              <w:t>n/a</w:t>
            </w:r>
          </w:p>
        </w:tc>
        <w:tc>
          <w:tcPr>
            <w:tcW w:w="999" w:type="dxa"/>
            <w:gridSpan w:val="3"/>
            <w:tcBorders>
              <w:top w:val="nil"/>
              <w:left w:val="nil"/>
              <w:bottom w:val="nil"/>
              <w:right w:val="nil"/>
            </w:tcBorders>
            <w:noWrap/>
            <w:vAlign w:val="bottom"/>
          </w:tcPr>
          <w:p w14:paraId="6A2DABFC"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25</w:t>
            </w:r>
          </w:p>
        </w:tc>
        <w:tc>
          <w:tcPr>
            <w:tcW w:w="851" w:type="dxa"/>
            <w:gridSpan w:val="2"/>
            <w:tcBorders>
              <w:top w:val="nil"/>
              <w:left w:val="nil"/>
              <w:bottom w:val="nil"/>
              <w:right w:val="nil"/>
            </w:tcBorders>
            <w:shd w:val="clear" w:color="auto" w:fill="auto"/>
            <w:noWrap/>
            <w:vAlign w:val="bottom"/>
          </w:tcPr>
          <w:p w14:paraId="752BC2D4"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106</w:t>
            </w:r>
          </w:p>
        </w:tc>
        <w:tc>
          <w:tcPr>
            <w:tcW w:w="1140" w:type="dxa"/>
            <w:gridSpan w:val="2"/>
            <w:tcBorders>
              <w:top w:val="nil"/>
              <w:left w:val="nil"/>
              <w:bottom w:val="nil"/>
              <w:right w:val="nil"/>
            </w:tcBorders>
            <w:shd w:val="clear" w:color="auto" w:fill="auto"/>
            <w:noWrap/>
            <w:vAlign w:val="bottom"/>
          </w:tcPr>
          <w:p w14:paraId="2ADE288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(48)</w:t>
            </w:r>
          </w:p>
        </w:tc>
      </w:tr>
      <w:tr w:rsidR="00865B3C" w:rsidRPr="00865B3C" w14:paraId="3022D92C" w14:textId="77777777" w:rsidTr="00865B3C">
        <w:trPr>
          <w:trHeight w:val="121"/>
        </w:trPr>
        <w:tc>
          <w:tcPr>
            <w:tcW w:w="5800" w:type="dxa"/>
            <w:gridSpan w:val="3"/>
            <w:tcBorders>
              <w:left w:val="nil"/>
              <w:right w:val="nil"/>
            </w:tcBorders>
            <w:shd w:val="clear" w:color="auto" w:fill="auto"/>
            <w:noWrap/>
            <w:vAlign w:val="center"/>
          </w:tcPr>
          <w:p w14:paraId="507132F9"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Odložená daň související s položkami, které nebudou v následujících obdobích převedeny do výkazu zisku a ztráty</w:t>
            </w:r>
          </w:p>
        </w:tc>
        <w:tc>
          <w:tcPr>
            <w:tcW w:w="992" w:type="dxa"/>
            <w:tcBorders>
              <w:left w:val="nil"/>
              <w:right w:val="nil"/>
            </w:tcBorders>
            <w:shd w:val="clear" w:color="auto" w:fill="auto"/>
            <w:vAlign w:val="bottom"/>
          </w:tcPr>
          <w:p w14:paraId="21BD4A4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0"/>
                <w:szCs w:val="20"/>
              </w:rPr>
            </w:pPr>
            <w:r w:rsidRPr="00865B3C">
              <w:rPr>
                <w:rFonts w:eastAsia="Times New Roman" w:cs="Times New Roman"/>
                <w:color w:val="000000"/>
                <w:sz w:val="20"/>
                <w:szCs w:val="20"/>
              </w:rPr>
              <w:t>n/a</w:t>
            </w:r>
          </w:p>
        </w:tc>
        <w:tc>
          <w:tcPr>
            <w:tcW w:w="999" w:type="dxa"/>
            <w:gridSpan w:val="3"/>
            <w:tcBorders>
              <w:top w:val="nil"/>
              <w:left w:val="nil"/>
              <w:bottom w:val="nil"/>
              <w:right w:val="nil"/>
            </w:tcBorders>
            <w:noWrap/>
            <w:vAlign w:val="bottom"/>
          </w:tcPr>
          <w:p w14:paraId="75D68A9C"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(5)</w:t>
            </w:r>
          </w:p>
        </w:tc>
        <w:tc>
          <w:tcPr>
            <w:tcW w:w="851" w:type="dxa"/>
            <w:gridSpan w:val="2"/>
            <w:tcBorders>
              <w:top w:val="nil"/>
              <w:left w:val="nil"/>
              <w:bottom w:val="nil"/>
              <w:right w:val="nil"/>
            </w:tcBorders>
            <w:shd w:val="clear" w:color="auto" w:fill="auto"/>
            <w:noWrap/>
            <w:vAlign w:val="bottom"/>
          </w:tcPr>
          <w:p w14:paraId="42906B32"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(16)</w:t>
            </w:r>
          </w:p>
        </w:tc>
        <w:tc>
          <w:tcPr>
            <w:tcW w:w="1140" w:type="dxa"/>
            <w:gridSpan w:val="2"/>
            <w:tcBorders>
              <w:top w:val="nil"/>
              <w:left w:val="nil"/>
              <w:bottom w:val="nil"/>
              <w:right w:val="nil"/>
            </w:tcBorders>
            <w:shd w:val="clear" w:color="auto" w:fill="auto"/>
            <w:noWrap/>
            <w:vAlign w:val="bottom"/>
          </w:tcPr>
          <w:p w14:paraId="396D45F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w:t>
            </w:r>
          </w:p>
        </w:tc>
      </w:tr>
      <w:tr w:rsidR="00865B3C" w:rsidRPr="00865B3C" w14:paraId="119E1830" w14:textId="77777777" w:rsidTr="00865B3C">
        <w:trPr>
          <w:trHeight w:val="121"/>
        </w:trPr>
        <w:tc>
          <w:tcPr>
            <w:tcW w:w="5800" w:type="dxa"/>
            <w:gridSpan w:val="3"/>
            <w:tcBorders>
              <w:left w:val="nil"/>
              <w:right w:val="nil"/>
            </w:tcBorders>
            <w:shd w:val="clear" w:color="auto" w:fill="auto"/>
            <w:noWrap/>
            <w:vAlign w:val="center"/>
          </w:tcPr>
          <w:p w14:paraId="43F233CB" w14:textId="77777777" w:rsidR="00865B3C" w:rsidRPr="00865B3C" w:rsidRDefault="00865B3C" w:rsidP="00856149">
            <w:pPr>
              <w:overflowPunct w:val="0"/>
              <w:autoSpaceDE w:val="0"/>
              <w:autoSpaceDN w:val="0"/>
              <w:adjustRightInd w:val="0"/>
              <w:spacing w:before="20" w:after="20" w:line="276" w:lineRule="auto"/>
              <w:ind w:left="-80" w:right="-70"/>
              <w:jc w:val="both"/>
              <w:textAlignment w:val="baseline"/>
              <w:rPr>
                <w:rFonts w:eastAsia="Times New Roman" w:cs="Times New Roman"/>
                <w:b/>
                <w:bCs/>
                <w:sz w:val="20"/>
                <w:szCs w:val="20"/>
              </w:rPr>
            </w:pPr>
            <w:r w:rsidRPr="00865B3C">
              <w:rPr>
                <w:rFonts w:eastAsia="Times New Roman" w:cs="Times New Roman"/>
                <w:b/>
                <w:color w:val="000000"/>
                <w:sz w:val="20"/>
                <w:szCs w:val="20"/>
              </w:rPr>
              <w:t>Položky, které budou v budoucnu převedeny do výkazu zisku a ztráty:</w:t>
            </w:r>
          </w:p>
        </w:tc>
        <w:tc>
          <w:tcPr>
            <w:tcW w:w="992" w:type="dxa"/>
            <w:tcBorders>
              <w:left w:val="nil"/>
              <w:right w:val="nil"/>
            </w:tcBorders>
            <w:vAlign w:val="bottom"/>
          </w:tcPr>
          <w:p w14:paraId="3DB9BF2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p>
        </w:tc>
        <w:tc>
          <w:tcPr>
            <w:tcW w:w="999" w:type="dxa"/>
            <w:gridSpan w:val="3"/>
            <w:tcBorders>
              <w:left w:val="nil"/>
              <w:right w:val="nil"/>
            </w:tcBorders>
            <w:shd w:val="clear" w:color="auto" w:fill="auto"/>
            <w:noWrap/>
            <w:vAlign w:val="bottom"/>
          </w:tcPr>
          <w:p w14:paraId="19E7DF5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p>
        </w:tc>
        <w:tc>
          <w:tcPr>
            <w:tcW w:w="851" w:type="dxa"/>
            <w:gridSpan w:val="2"/>
            <w:tcBorders>
              <w:top w:val="nil"/>
              <w:left w:val="nil"/>
              <w:bottom w:val="nil"/>
              <w:right w:val="nil"/>
            </w:tcBorders>
            <w:shd w:val="clear" w:color="auto" w:fill="auto"/>
            <w:noWrap/>
            <w:vAlign w:val="bottom"/>
          </w:tcPr>
          <w:p w14:paraId="6F6EE23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p>
        </w:tc>
        <w:tc>
          <w:tcPr>
            <w:tcW w:w="1140" w:type="dxa"/>
            <w:gridSpan w:val="2"/>
            <w:tcBorders>
              <w:top w:val="nil"/>
              <w:left w:val="nil"/>
              <w:bottom w:val="nil"/>
              <w:right w:val="nil"/>
            </w:tcBorders>
            <w:shd w:val="clear" w:color="auto" w:fill="auto"/>
            <w:noWrap/>
            <w:vAlign w:val="bottom"/>
          </w:tcPr>
          <w:p w14:paraId="0BE9563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p>
        </w:tc>
      </w:tr>
      <w:tr w:rsidR="00865B3C" w:rsidRPr="00865B3C" w14:paraId="53946A9E" w14:textId="77777777" w:rsidTr="00865B3C">
        <w:trPr>
          <w:trHeight w:val="121"/>
        </w:trPr>
        <w:tc>
          <w:tcPr>
            <w:tcW w:w="5800" w:type="dxa"/>
            <w:gridSpan w:val="3"/>
            <w:tcBorders>
              <w:left w:val="nil"/>
              <w:right w:val="nil"/>
            </w:tcBorders>
            <w:shd w:val="clear" w:color="auto" w:fill="auto"/>
            <w:noWrap/>
            <w:vAlign w:val="center"/>
          </w:tcPr>
          <w:p w14:paraId="79129B7D"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Zisky/(ztráty) z přecenění realizovatelných cenných papírů</w:t>
            </w:r>
          </w:p>
        </w:tc>
        <w:tc>
          <w:tcPr>
            <w:tcW w:w="992" w:type="dxa"/>
            <w:tcBorders>
              <w:top w:val="nil"/>
              <w:left w:val="nil"/>
              <w:bottom w:val="nil"/>
              <w:right w:val="nil"/>
            </w:tcBorders>
            <w:shd w:val="clear" w:color="auto" w:fill="auto"/>
            <w:vAlign w:val="bottom"/>
          </w:tcPr>
          <w:p w14:paraId="59E3F123"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9</w:t>
            </w:r>
          </w:p>
        </w:tc>
        <w:tc>
          <w:tcPr>
            <w:tcW w:w="999" w:type="dxa"/>
            <w:gridSpan w:val="3"/>
            <w:tcBorders>
              <w:left w:val="nil"/>
              <w:right w:val="nil"/>
            </w:tcBorders>
            <w:shd w:val="clear" w:color="auto" w:fill="auto"/>
            <w:noWrap/>
            <w:vAlign w:val="bottom"/>
          </w:tcPr>
          <w:p w14:paraId="18A6A6C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0"/>
                <w:szCs w:val="20"/>
              </w:rPr>
            </w:pPr>
            <w:r w:rsidRPr="00865B3C">
              <w:rPr>
                <w:rFonts w:eastAsia="Times New Roman" w:cs="Times New Roman"/>
                <w:color w:val="000000"/>
                <w:sz w:val="20"/>
                <w:szCs w:val="20"/>
              </w:rPr>
              <w:t>n/a</w:t>
            </w:r>
          </w:p>
        </w:tc>
        <w:tc>
          <w:tcPr>
            <w:tcW w:w="851" w:type="dxa"/>
            <w:gridSpan w:val="2"/>
            <w:tcBorders>
              <w:top w:val="nil"/>
              <w:left w:val="nil"/>
              <w:bottom w:val="nil"/>
              <w:right w:val="nil"/>
            </w:tcBorders>
            <w:shd w:val="clear" w:color="auto" w:fill="auto"/>
            <w:noWrap/>
            <w:vAlign w:val="bottom"/>
          </w:tcPr>
          <w:p w14:paraId="4C58083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0"/>
                <w:szCs w:val="20"/>
              </w:rPr>
            </w:pPr>
            <w:r w:rsidRPr="00865B3C">
              <w:rPr>
                <w:rFonts w:eastAsia="Times New Roman" w:cs="Times New Roman"/>
                <w:color w:val="000000"/>
                <w:sz w:val="20"/>
                <w:szCs w:val="20"/>
              </w:rPr>
              <w:t>n/a</w:t>
            </w:r>
          </w:p>
        </w:tc>
        <w:tc>
          <w:tcPr>
            <w:tcW w:w="1140" w:type="dxa"/>
            <w:gridSpan w:val="2"/>
            <w:tcBorders>
              <w:top w:val="nil"/>
              <w:left w:val="nil"/>
              <w:bottom w:val="nil"/>
              <w:right w:val="nil"/>
            </w:tcBorders>
            <w:shd w:val="clear" w:color="auto" w:fill="auto"/>
            <w:noWrap/>
            <w:vAlign w:val="bottom"/>
          </w:tcPr>
          <w:p w14:paraId="683EFD9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0"/>
                <w:szCs w:val="20"/>
              </w:rPr>
            </w:pPr>
            <w:r w:rsidRPr="00865B3C">
              <w:rPr>
                <w:rFonts w:eastAsia="Times New Roman" w:cs="Times New Roman"/>
                <w:color w:val="000000"/>
                <w:sz w:val="20"/>
                <w:szCs w:val="20"/>
              </w:rPr>
              <w:t>n/a</w:t>
            </w:r>
          </w:p>
        </w:tc>
      </w:tr>
      <w:tr w:rsidR="00865B3C" w:rsidRPr="00865B3C" w14:paraId="53B8E306" w14:textId="77777777" w:rsidTr="00865B3C">
        <w:trPr>
          <w:trHeight w:val="121"/>
        </w:trPr>
        <w:tc>
          <w:tcPr>
            <w:tcW w:w="5800" w:type="dxa"/>
            <w:gridSpan w:val="3"/>
            <w:tcBorders>
              <w:left w:val="nil"/>
              <w:right w:val="nil"/>
            </w:tcBorders>
            <w:shd w:val="clear" w:color="auto" w:fill="auto"/>
            <w:noWrap/>
            <w:vAlign w:val="center"/>
          </w:tcPr>
          <w:p w14:paraId="7FCB0F87"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Zajištění peněžních toků</w:t>
            </w:r>
          </w:p>
        </w:tc>
        <w:tc>
          <w:tcPr>
            <w:tcW w:w="992" w:type="dxa"/>
            <w:tcBorders>
              <w:top w:val="nil"/>
              <w:left w:val="nil"/>
              <w:bottom w:val="nil"/>
              <w:right w:val="nil"/>
            </w:tcBorders>
            <w:shd w:val="clear" w:color="auto" w:fill="auto"/>
            <w:vAlign w:val="bottom"/>
          </w:tcPr>
          <w:p w14:paraId="2C1FAFF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181</w:t>
            </w:r>
          </w:p>
        </w:tc>
        <w:tc>
          <w:tcPr>
            <w:tcW w:w="999" w:type="dxa"/>
            <w:gridSpan w:val="3"/>
            <w:tcBorders>
              <w:left w:val="nil"/>
              <w:right w:val="nil"/>
            </w:tcBorders>
            <w:shd w:val="clear" w:color="auto" w:fill="auto"/>
            <w:noWrap/>
            <w:vAlign w:val="bottom"/>
          </w:tcPr>
          <w:p w14:paraId="56AE95B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177</w:t>
            </w:r>
          </w:p>
        </w:tc>
        <w:tc>
          <w:tcPr>
            <w:tcW w:w="851" w:type="dxa"/>
            <w:gridSpan w:val="2"/>
            <w:tcBorders>
              <w:top w:val="nil"/>
              <w:left w:val="nil"/>
              <w:bottom w:val="nil"/>
              <w:right w:val="nil"/>
            </w:tcBorders>
            <w:shd w:val="clear" w:color="auto" w:fill="auto"/>
            <w:noWrap/>
            <w:vAlign w:val="bottom"/>
          </w:tcPr>
          <w:p w14:paraId="02B3229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34</w:t>
            </w:r>
          </w:p>
        </w:tc>
        <w:tc>
          <w:tcPr>
            <w:tcW w:w="1140" w:type="dxa"/>
            <w:gridSpan w:val="2"/>
            <w:tcBorders>
              <w:top w:val="nil"/>
              <w:left w:val="nil"/>
              <w:bottom w:val="nil"/>
              <w:right w:val="nil"/>
            </w:tcBorders>
            <w:shd w:val="clear" w:color="auto" w:fill="auto"/>
            <w:noWrap/>
            <w:vAlign w:val="bottom"/>
          </w:tcPr>
          <w:p w14:paraId="2D41E34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12</w:t>
            </w:r>
          </w:p>
        </w:tc>
      </w:tr>
      <w:tr w:rsidR="00865B3C" w:rsidRPr="00865B3C" w14:paraId="29B2B440" w14:textId="77777777" w:rsidTr="00865B3C">
        <w:trPr>
          <w:trHeight w:val="121"/>
        </w:trPr>
        <w:tc>
          <w:tcPr>
            <w:tcW w:w="5800" w:type="dxa"/>
            <w:gridSpan w:val="3"/>
            <w:tcBorders>
              <w:left w:val="nil"/>
              <w:right w:val="nil"/>
            </w:tcBorders>
            <w:shd w:val="clear" w:color="auto" w:fill="auto"/>
            <w:noWrap/>
            <w:vAlign w:val="center"/>
          </w:tcPr>
          <w:p w14:paraId="76EA51EA" w14:textId="77777777" w:rsidR="00865B3C" w:rsidRPr="00865B3C" w:rsidRDefault="00865B3C" w:rsidP="00856149">
            <w:pPr>
              <w:spacing w:after="0" w:line="276" w:lineRule="auto"/>
              <w:ind w:left="-80"/>
              <w:jc w:val="both"/>
              <w:rPr>
                <w:rFonts w:eastAsia="Times New Roman" w:cs="Times New Roman"/>
                <w:color w:val="000000"/>
                <w:sz w:val="20"/>
                <w:szCs w:val="20"/>
              </w:rPr>
            </w:pPr>
            <w:r w:rsidRPr="00865B3C">
              <w:rPr>
                <w:rFonts w:eastAsia="Times New Roman" w:cs="Times New Roman"/>
                <w:color w:val="000000"/>
                <w:sz w:val="20"/>
                <w:szCs w:val="20"/>
              </w:rPr>
              <w:t>Odložená daň související s položkami, které budou v následujících obdobích převedeny do výkazu zisku a ztráty</w:t>
            </w:r>
          </w:p>
        </w:tc>
        <w:tc>
          <w:tcPr>
            <w:tcW w:w="992" w:type="dxa"/>
            <w:tcBorders>
              <w:top w:val="nil"/>
              <w:left w:val="nil"/>
              <w:bottom w:val="nil"/>
              <w:right w:val="nil"/>
            </w:tcBorders>
            <w:shd w:val="clear" w:color="auto" w:fill="auto"/>
            <w:vAlign w:val="bottom"/>
          </w:tcPr>
          <w:p w14:paraId="16557E1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(32)</w:t>
            </w:r>
          </w:p>
        </w:tc>
        <w:tc>
          <w:tcPr>
            <w:tcW w:w="999" w:type="dxa"/>
            <w:gridSpan w:val="3"/>
            <w:tcBorders>
              <w:top w:val="nil"/>
              <w:left w:val="nil"/>
              <w:bottom w:val="nil"/>
              <w:right w:val="nil"/>
            </w:tcBorders>
            <w:noWrap/>
            <w:vAlign w:val="bottom"/>
          </w:tcPr>
          <w:p w14:paraId="68D1EF9F" w14:textId="77777777" w:rsidR="00865B3C" w:rsidRPr="00865B3C" w:rsidRDefault="00865B3C" w:rsidP="00AA77D8">
            <w:pPr>
              <w:autoSpaceDE w:val="0"/>
              <w:autoSpaceDN w:val="0"/>
              <w:adjustRightInd w:val="0"/>
              <w:spacing w:after="0" w:line="276" w:lineRule="auto"/>
              <w:jc w:val="right"/>
              <w:rPr>
                <w:rFonts w:cs="Times New Roman"/>
                <w:color w:val="000000"/>
                <w:sz w:val="20"/>
                <w:szCs w:val="20"/>
              </w:rPr>
            </w:pPr>
            <w:r w:rsidRPr="00865B3C">
              <w:rPr>
                <w:rFonts w:cs="Times New Roman"/>
                <w:color w:val="000000"/>
                <w:sz w:val="20"/>
                <w:szCs w:val="20"/>
              </w:rPr>
              <w:t>(40)</w:t>
            </w:r>
          </w:p>
        </w:tc>
        <w:tc>
          <w:tcPr>
            <w:tcW w:w="851" w:type="dxa"/>
            <w:gridSpan w:val="2"/>
            <w:tcBorders>
              <w:top w:val="nil"/>
              <w:left w:val="nil"/>
              <w:bottom w:val="nil"/>
              <w:right w:val="nil"/>
            </w:tcBorders>
            <w:shd w:val="clear" w:color="auto" w:fill="auto"/>
            <w:noWrap/>
            <w:vAlign w:val="bottom"/>
          </w:tcPr>
          <w:p w14:paraId="58E28F5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w:t>
            </w:r>
          </w:p>
        </w:tc>
        <w:tc>
          <w:tcPr>
            <w:tcW w:w="1140" w:type="dxa"/>
            <w:gridSpan w:val="2"/>
            <w:tcBorders>
              <w:top w:val="nil"/>
              <w:left w:val="nil"/>
              <w:bottom w:val="nil"/>
              <w:right w:val="nil"/>
            </w:tcBorders>
            <w:shd w:val="clear" w:color="auto" w:fill="auto"/>
            <w:noWrap/>
            <w:vAlign w:val="bottom"/>
          </w:tcPr>
          <w:p w14:paraId="06A2AC2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w:t>
            </w:r>
          </w:p>
        </w:tc>
      </w:tr>
      <w:tr w:rsidR="00865B3C" w:rsidRPr="00865B3C" w14:paraId="0C066B74" w14:textId="77777777" w:rsidTr="00865B3C">
        <w:trPr>
          <w:trHeight w:val="140"/>
        </w:trPr>
        <w:tc>
          <w:tcPr>
            <w:tcW w:w="5800" w:type="dxa"/>
            <w:gridSpan w:val="3"/>
            <w:tcBorders>
              <w:left w:val="nil"/>
              <w:bottom w:val="single" w:sz="4" w:space="0" w:color="auto"/>
              <w:right w:val="nil"/>
            </w:tcBorders>
            <w:shd w:val="clear" w:color="auto" w:fill="auto"/>
            <w:noWrap/>
            <w:vAlign w:val="center"/>
          </w:tcPr>
          <w:p w14:paraId="47B9C68E" w14:textId="77777777" w:rsidR="00865B3C" w:rsidRPr="00865B3C" w:rsidRDefault="00865B3C" w:rsidP="00856149">
            <w:pPr>
              <w:overflowPunct w:val="0"/>
              <w:autoSpaceDE w:val="0"/>
              <w:autoSpaceDN w:val="0"/>
              <w:adjustRightInd w:val="0"/>
              <w:spacing w:before="20" w:after="20" w:line="276" w:lineRule="auto"/>
              <w:ind w:left="-80" w:right="-70"/>
              <w:jc w:val="both"/>
              <w:textAlignment w:val="baseline"/>
              <w:rPr>
                <w:rFonts w:eastAsia="Times New Roman" w:cs="Times New Roman"/>
                <w:b/>
                <w:bCs/>
                <w:sz w:val="20"/>
                <w:szCs w:val="20"/>
              </w:rPr>
            </w:pPr>
            <w:r w:rsidRPr="00865B3C">
              <w:rPr>
                <w:rFonts w:eastAsia="Times New Roman" w:cs="Times New Roman"/>
                <w:b/>
                <w:color w:val="000000"/>
                <w:sz w:val="20"/>
                <w:szCs w:val="20"/>
              </w:rPr>
              <w:t>Ostatní úplný výsledek celkem</w:t>
            </w:r>
          </w:p>
        </w:tc>
        <w:tc>
          <w:tcPr>
            <w:tcW w:w="992" w:type="dxa"/>
            <w:tcBorders>
              <w:top w:val="nil"/>
              <w:left w:val="nil"/>
              <w:bottom w:val="single" w:sz="8" w:space="0" w:color="auto"/>
              <w:right w:val="nil"/>
            </w:tcBorders>
            <w:shd w:val="clear" w:color="auto" w:fill="auto"/>
            <w:vAlign w:val="bottom"/>
          </w:tcPr>
          <w:p w14:paraId="3D02FE1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158</w:t>
            </w:r>
          </w:p>
        </w:tc>
        <w:tc>
          <w:tcPr>
            <w:tcW w:w="999" w:type="dxa"/>
            <w:gridSpan w:val="3"/>
            <w:tcBorders>
              <w:top w:val="nil"/>
              <w:left w:val="nil"/>
              <w:bottom w:val="single" w:sz="4" w:space="0" w:color="auto"/>
              <w:right w:val="nil"/>
            </w:tcBorders>
            <w:noWrap/>
            <w:vAlign w:val="bottom"/>
          </w:tcPr>
          <w:p w14:paraId="36DB9825"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157</w:t>
            </w:r>
          </w:p>
        </w:tc>
        <w:tc>
          <w:tcPr>
            <w:tcW w:w="851" w:type="dxa"/>
            <w:gridSpan w:val="2"/>
            <w:tcBorders>
              <w:top w:val="nil"/>
              <w:left w:val="nil"/>
              <w:bottom w:val="single" w:sz="8" w:space="0" w:color="auto"/>
              <w:right w:val="nil"/>
            </w:tcBorders>
            <w:shd w:val="clear" w:color="auto" w:fill="auto"/>
            <w:noWrap/>
            <w:vAlign w:val="bottom"/>
          </w:tcPr>
          <w:p w14:paraId="216895B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118</w:t>
            </w:r>
          </w:p>
        </w:tc>
        <w:tc>
          <w:tcPr>
            <w:tcW w:w="1140" w:type="dxa"/>
            <w:gridSpan w:val="2"/>
            <w:tcBorders>
              <w:top w:val="nil"/>
              <w:left w:val="nil"/>
              <w:bottom w:val="single" w:sz="8" w:space="0" w:color="auto"/>
              <w:right w:val="nil"/>
            </w:tcBorders>
            <w:shd w:val="clear" w:color="auto" w:fill="auto"/>
            <w:noWrap/>
            <w:vAlign w:val="bottom"/>
          </w:tcPr>
          <w:p w14:paraId="444451E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(38)</w:t>
            </w:r>
          </w:p>
        </w:tc>
      </w:tr>
      <w:tr w:rsidR="00865B3C" w:rsidRPr="00865B3C" w14:paraId="73CACF91" w14:textId="77777777" w:rsidTr="00865B3C">
        <w:tc>
          <w:tcPr>
            <w:tcW w:w="5800" w:type="dxa"/>
            <w:gridSpan w:val="3"/>
            <w:tcBorders>
              <w:top w:val="single" w:sz="4" w:space="0" w:color="auto"/>
              <w:left w:val="nil"/>
              <w:bottom w:val="single" w:sz="4" w:space="0" w:color="auto"/>
              <w:right w:val="nil"/>
            </w:tcBorders>
            <w:shd w:val="clear" w:color="auto" w:fill="FFFF99"/>
            <w:noWrap/>
          </w:tcPr>
          <w:p w14:paraId="6D54E986" w14:textId="77777777" w:rsidR="00865B3C" w:rsidRPr="00865B3C" w:rsidRDefault="00865B3C" w:rsidP="00856149">
            <w:pPr>
              <w:overflowPunct w:val="0"/>
              <w:autoSpaceDE w:val="0"/>
              <w:autoSpaceDN w:val="0"/>
              <w:adjustRightInd w:val="0"/>
              <w:spacing w:before="20" w:after="20" w:line="276" w:lineRule="auto"/>
              <w:ind w:left="-80" w:right="-70"/>
              <w:jc w:val="both"/>
              <w:textAlignment w:val="baseline"/>
              <w:rPr>
                <w:rFonts w:eastAsia="Times New Roman" w:cs="Times New Roman"/>
                <w:b/>
                <w:bCs/>
                <w:sz w:val="20"/>
                <w:szCs w:val="20"/>
              </w:rPr>
            </w:pPr>
            <w:r w:rsidRPr="00865B3C">
              <w:rPr>
                <w:rFonts w:eastAsia="Times New Roman" w:cs="Times New Roman"/>
                <w:b/>
                <w:sz w:val="20"/>
                <w:szCs w:val="20"/>
              </w:rPr>
              <w:t>ÚPLNÝ VÝSLEDEK ZA OBDOBÍ CELKEM</w:t>
            </w:r>
          </w:p>
        </w:tc>
        <w:tc>
          <w:tcPr>
            <w:tcW w:w="992" w:type="dxa"/>
            <w:tcBorders>
              <w:top w:val="nil"/>
              <w:left w:val="nil"/>
              <w:bottom w:val="single" w:sz="8" w:space="0" w:color="auto"/>
              <w:right w:val="nil"/>
            </w:tcBorders>
            <w:shd w:val="clear" w:color="000000" w:fill="FFFF99"/>
            <w:vAlign w:val="bottom"/>
          </w:tcPr>
          <w:p w14:paraId="6D8FB63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2 983</w:t>
            </w:r>
          </w:p>
        </w:tc>
        <w:tc>
          <w:tcPr>
            <w:tcW w:w="999" w:type="dxa"/>
            <w:gridSpan w:val="3"/>
            <w:tcBorders>
              <w:top w:val="single" w:sz="4" w:space="0" w:color="auto"/>
              <w:left w:val="nil"/>
              <w:bottom w:val="single" w:sz="4" w:space="0" w:color="auto"/>
              <w:right w:val="nil"/>
            </w:tcBorders>
            <w:shd w:val="solid" w:color="FFFF99" w:fill="auto"/>
            <w:noWrap/>
            <w:vAlign w:val="bottom"/>
          </w:tcPr>
          <w:p w14:paraId="3D4E0B43" w14:textId="77777777" w:rsidR="00865B3C" w:rsidRPr="00865B3C" w:rsidRDefault="00865B3C" w:rsidP="00AA77D8">
            <w:pPr>
              <w:autoSpaceDE w:val="0"/>
              <w:autoSpaceDN w:val="0"/>
              <w:adjustRightInd w:val="0"/>
              <w:spacing w:after="0" w:line="276" w:lineRule="auto"/>
              <w:jc w:val="right"/>
              <w:rPr>
                <w:rFonts w:cs="Times New Roman"/>
                <w:b/>
                <w:bCs/>
                <w:color w:val="000000"/>
                <w:sz w:val="20"/>
                <w:szCs w:val="20"/>
              </w:rPr>
            </w:pPr>
            <w:r w:rsidRPr="00865B3C">
              <w:rPr>
                <w:rFonts w:cs="Times New Roman"/>
                <w:b/>
                <w:bCs/>
                <w:color w:val="000000"/>
                <w:sz w:val="20"/>
                <w:szCs w:val="20"/>
              </w:rPr>
              <w:t>3 522</w:t>
            </w:r>
          </w:p>
        </w:tc>
        <w:tc>
          <w:tcPr>
            <w:tcW w:w="851" w:type="dxa"/>
            <w:gridSpan w:val="2"/>
            <w:tcBorders>
              <w:top w:val="single" w:sz="8" w:space="0" w:color="auto"/>
              <w:left w:val="nil"/>
              <w:bottom w:val="single" w:sz="4" w:space="0" w:color="auto"/>
              <w:right w:val="nil"/>
            </w:tcBorders>
            <w:shd w:val="clear" w:color="000000" w:fill="FFFF99"/>
            <w:noWrap/>
            <w:vAlign w:val="bottom"/>
          </w:tcPr>
          <w:p w14:paraId="7612D47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4 306</w:t>
            </w:r>
          </w:p>
        </w:tc>
        <w:tc>
          <w:tcPr>
            <w:tcW w:w="1140" w:type="dxa"/>
            <w:gridSpan w:val="2"/>
            <w:tcBorders>
              <w:top w:val="nil"/>
              <w:left w:val="nil"/>
              <w:bottom w:val="single" w:sz="8" w:space="0" w:color="auto"/>
              <w:right w:val="nil"/>
            </w:tcBorders>
            <w:shd w:val="clear" w:color="000000" w:fill="FFFF99"/>
            <w:noWrap/>
            <w:vAlign w:val="bottom"/>
          </w:tcPr>
          <w:p w14:paraId="4B6EC6B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1 300</w:t>
            </w:r>
          </w:p>
        </w:tc>
      </w:tr>
    </w:tbl>
    <w:p w14:paraId="33F33177" w14:textId="4689F37F" w:rsidR="006A7025" w:rsidRPr="00865B3C" w:rsidRDefault="006A7025" w:rsidP="00856149">
      <w:pPr>
        <w:spacing w:line="276" w:lineRule="auto"/>
        <w:jc w:val="both"/>
        <w:rPr>
          <w:rFonts w:cs="Times New Roman"/>
        </w:rPr>
      </w:pPr>
    </w:p>
    <w:tbl>
      <w:tblPr>
        <w:tblW w:w="9781" w:type="dxa"/>
        <w:tblInd w:w="-142" w:type="dxa"/>
        <w:tblLayout w:type="fixed"/>
        <w:tblLook w:val="0000" w:firstRow="0" w:lastRow="0" w:firstColumn="0" w:lastColumn="0" w:noHBand="0" w:noVBand="0"/>
      </w:tblPr>
      <w:tblGrid>
        <w:gridCol w:w="5671"/>
        <w:gridCol w:w="992"/>
        <w:gridCol w:w="992"/>
        <w:gridCol w:w="992"/>
        <w:gridCol w:w="44"/>
        <w:gridCol w:w="1084"/>
        <w:gridCol w:w="6"/>
      </w:tblGrid>
      <w:tr w:rsidR="00865B3C" w:rsidRPr="00865B3C" w14:paraId="7D868627" w14:textId="77777777" w:rsidTr="00865B3C">
        <w:trPr>
          <w:gridAfter w:val="1"/>
          <w:wAfter w:w="6" w:type="dxa"/>
          <w:trHeight w:val="20"/>
        </w:trPr>
        <w:tc>
          <w:tcPr>
            <w:tcW w:w="8691" w:type="dxa"/>
            <w:gridSpan w:val="5"/>
            <w:tcBorders>
              <w:top w:val="nil"/>
              <w:left w:val="nil"/>
              <w:bottom w:val="nil"/>
              <w:right w:val="nil"/>
            </w:tcBorders>
            <w:noWrap/>
            <w:vAlign w:val="bottom"/>
          </w:tcPr>
          <w:p w14:paraId="26754AD0" w14:textId="77777777" w:rsidR="00865B3C" w:rsidRPr="00865B3C" w:rsidRDefault="00865B3C" w:rsidP="00856149">
            <w:pPr>
              <w:spacing w:after="0" w:line="276" w:lineRule="auto"/>
              <w:ind w:left="-66"/>
              <w:jc w:val="both"/>
              <w:rPr>
                <w:rFonts w:eastAsia="Times New Roman" w:cs="Times New Roman"/>
                <w:b/>
                <w:bCs/>
                <w:color w:val="000000"/>
              </w:rPr>
            </w:pPr>
            <w:r w:rsidRPr="00865B3C">
              <w:rPr>
                <w:rFonts w:eastAsia="Times New Roman" w:cs="Times New Roman"/>
                <w:b/>
                <w:bCs/>
                <w:iCs/>
                <w:color w:val="000000"/>
              </w:rPr>
              <w:t>Výkaz o finanční pozici</w:t>
            </w:r>
          </w:p>
        </w:tc>
        <w:tc>
          <w:tcPr>
            <w:tcW w:w="1084" w:type="dxa"/>
            <w:tcBorders>
              <w:top w:val="nil"/>
              <w:left w:val="nil"/>
              <w:bottom w:val="nil"/>
              <w:right w:val="nil"/>
            </w:tcBorders>
          </w:tcPr>
          <w:p w14:paraId="7CC3C5C1" w14:textId="77777777" w:rsidR="00865B3C" w:rsidRPr="00865B3C" w:rsidRDefault="00865B3C" w:rsidP="00856149">
            <w:pPr>
              <w:spacing w:after="0" w:line="276" w:lineRule="auto"/>
              <w:ind w:left="-66"/>
              <w:jc w:val="both"/>
              <w:rPr>
                <w:rFonts w:eastAsia="Times New Roman" w:cs="Times New Roman"/>
                <w:b/>
                <w:bCs/>
                <w:sz w:val="24"/>
                <w:szCs w:val="24"/>
              </w:rPr>
            </w:pPr>
          </w:p>
        </w:tc>
      </w:tr>
      <w:tr w:rsidR="00865B3C" w:rsidRPr="00865B3C" w14:paraId="21E23477" w14:textId="77777777" w:rsidTr="00865B3C">
        <w:trPr>
          <w:gridAfter w:val="1"/>
          <w:wAfter w:w="6" w:type="dxa"/>
          <w:trHeight w:val="20"/>
        </w:trPr>
        <w:tc>
          <w:tcPr>
            <w:tcW w:w="5671" w:type="dxa"/>
            <w:tcBorders>
              <w:left w:val="nil"/>
              <w:bottom w:val="single" w:sz="12" w:space="0" w:color="auto"/>
              <w:right w:val="nil"/>
            </w:tcBorders>
            <w:shd w:val="clear" w:color="auto" w:fill="FFFFFF"/>
            <w:noWrap/>
            <w:vAlign w:val="bottom"/>
          </w:tcPr>
          <w:p w14:paraId="2CD58EEA" w14:textId="77777777" w:rsidR="00865B3C" w:rsidRPr="00865B3C" w:rsidRDefault="00865B3C" w:rsidP="00856149">
            <w:pPr>
              <w:spacing w:after="0" w:line="276" w:lineRule="auto"/>
              <w:jc w:val="both"/>
              <w:rPr>
                <w:rFonts w:eastAsia="Times New Roman" w:cs="Times New Roman"/>
                <w:sz w:val="20"/>
                <w:szCs w:val="20"/>
              </w:rPr>
            </w:pPr>
          </w:p>
        </w:tc>
        <w:tc>
          <w:tcPr>
            <w:tcW w:w="3020" w:type="dxa"/>
            <w:gridSpan w:val="4"/>
            <w:tcBorders>
              <w:left w:val="nil"/>
              <w:bottom w:val="single" w:sz="12" w:space="0" w:color="auto"/>
              <w:right w:val="nil"/>
            </w:tcBorders>
            <w:shd w:val="clear" w:color="auto" w:fill="FFFFFF"/>
            <w:noWrap/>
            <w:vAlign w:val="bottom"/>
          </w:tcPr>
          <w:p w14:paraId="17D86D85" w14:textId="77777777" w:rsidR="00865B3C" w:rsidRPr="00865B3C" w:rsidRDefault="00865B3C" w:rsidP="00856149">
            <w:pPr>
              <w:spacing w:after="0" w:line="276" w:lineRule="auto"/>
              <w:jc w:val="both"/>
              <w:rPr>
                <w:rFonts w:eastAsia="Times New Roman" w:cs="Times New Roman"/>
                <w:b/>
                <w:bCs/>
                <w:sz w:val="20"/>
                <w:szCs w:val="20"/>
              </w:rPr>
            </w:pPr>
          </w:p>
        </w:tc>
        <w:tc>
          <w:tcPr>
            <w:tcW w:w="1084" w:type="dxa"/>
            <w:tcBorders>
              <w:left w:val="nil"/>
              <w:bottom w:val="single" w:sz="12" w:space="0" w:color="auto"/>
              <w:right w:val="nil"/>
            </w:tcBorders>
            <w:shd w:val="clear" w:color="auto" w:fill="FFFFFF"/>
          </w:tcPr>
          <w:p w14:paraId="64EE37DE" w14:textId="77777777" w:rsidR="00865B3C" w:rsidRPr="00865B3C" w:rsidRDefault="00865B3C" w:rsidP="00856149">
            <w:pPr>
              <w:spacing w:after="0" w:line="276" w:lineRule="auto"/>
              <w:jc w:val="both"/>
              <w:rPr>
                <w:rFonts w:eastAsia="Times New Roman" w:cs="Times New Roman"/>
                <w:b/>
                <w:bCs/>
                <w:sz w:val="20"/>
                <w:szCs w:val="20"/>
              </w:rPr>
            </w:pPr>
          </w:p>
        </w:tc>
      </w:tr>
      <w:tr w:rsidR="00865B3C" w:rsidRPr="00865B3C" w14:paraId="22089D43" w14:textId="77777777" w:rsidTr="00865B3C">
        <w:trPr>
          <w:trHeight w:val="20"/>
        </w:trPr>
        <w:tc>
          <w:tcPr>
            <w:tcW w:w="5671" w:type="dxa"/>
            <w:tcBorders>
              <w:top w:val="single" w:sz="12" w:space="0" w:color="auto"/>
              <w:left w:val="nil"/>
              <w:bottom w:val="single" w:sz="8" w:space="0" w:color="auto"/>
              <w:right w:val="nil"/>
            </w:tcBorders>
            <w:shd w:val="clear" w:color="auto" w:fill="FFFF00"/>
            <w:noWrap/>
            <w:vAlign w:val="center"/>
          </w:tcPr>
          <w:p w14:paraId="7E037385" w14:textId="77777777" w:rsidR="00865B3C" w:rsidRPr="00865B3C" w:rsidRDefault="00865B3C" w:rsidP="00856149">
            <w:pPr>
              <w:spacing w:after="0" w:line="276" w:lineRule="auto"/>
              <w:ind w:left="-66"/>
              <w:jc w:val="both"/>
              <w:rPr>
                <w:rFonts w:eastAsia="Times New Roman" w:cs="Times New Roman"/>
                <w:b/>
                <w:color w:val="000000"/>
                <w:sz w:val="20"/>
                <w:szCs w:val="20"/>
              </w:rPr>
            </w:pPr>
            <w:r w:rsidRPr="00865B3C">
              <w:rPr>
                <w:rFonts w:eastAsia="Times New Roman" w:cs="Times New Roman"/>
                <w:b/>
                <w:color w:val="000000"/>
                <w:sz w:val="20"/>
                <w:szCs w:val="20"/>
              </w:rPr>
              <w:t>mil. Kč</w:t>
            </w:r>
          </w:p>
        </w:tc>
        <w:tc>
          <w:tcPr>
            <w:tcW w:w="992" w:type="dxa"/>
            <w:tcBorders>
              <w:top w:val="single" w:sz="12" w:space="0" w:color="auto"/>
              <w:left w:val="nil"/>
              <w:bottom w:val="single" w:sz="8" w:space="0" w:color="auto"/>
              <w:right w:val="nil"/>
            </w:tcBorders>
            <w:shd w:val="clear" w:color="auto" w:fill="FFFF00"/>
            <w:noWrap/>
            <w:vAlign w:val="center"/>
          </w:tcPr>
          <w:p w14:paraId="6573C1A8" w14:textId="77777777" w:rsidR="00865B3C" w:rsidRPr="00865B3C" w:rsidRDefault="00865B3C" w:rsidP="00AA77D8">
            <w:pPr>
              <w:spacing w:after="0" w:line="276" w:lineRule="auto"/>
              <w:jc w:val="right"/>
              <w:rPr>
                <w:rFonts w:eastAsia="Times New Roman" w:cs="Times New Roman"/>
                <w:b/>
                <w:bCs/>
                <w:color w:val="000000"/>
                <w:sz w:val="20"/>
                <w:szCs w:val="20"/>
              </w:rPr>
            </w:pPr>
            <w:r w:rsidRPr="00865B3C">
              <w:rPr>
                <w:rFonts w:eastAsia="Times New Roman" w:cs="Times New Roman"/>
                <w:b/>
                <w:bCs/>
                <w:color w:val="000000"/>
                <w:sz w:val="20"/>
                <w:szCs w:val="20"/>
              </w:rPr>
              <w:t>2017</w:t>
            </w:r>
          </w:p>
        </w:tc>
        <w:tc>
          <w:tcPr>
            <w:tcW w:w="992" w:type="dxa"/>
            <w:tcBorders>
              <w:top w:val="single" w:sz="12" w:space="0" w:color="auto"/>
              <w:left w:val="nil"/>
              <w:bottom w:val="single" w:sz="8" w:space="0" w:color="auto"/>
              <w:right w:val="nil"/>
            </w:tcBorders>
            <w:shd w:val="clear" w:color="auto" w:fill="FFFF00"/>
            <w:noWrap/>
            <w:vAlign w:val="center"/>
          </w:tcPr>
          <w:p w14:paraId="24D92C1D"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2018</w:t>
            </w:r>
          </w:p>
        </w:tc>
        <w:tc>
          <w:tcPr>
            <w:tcW w:w="992" w:type="dxa"/>
            <w:tcBorders>
              <w:top w:val="single" w:sz="12" w:space="0" w:color="auto"/>
              <w:left w:val="nil"/>
              <w:bottom w:val="single" w:sz="8" w:space="0" w:color="auto"/>
              <w:right w:val="nil"/>
            </w:tcBorders>
            <w:shd w:val="clear" w:color="auto" w:fill="FFFF00"/>
            <w:noWrap/>
            <w:vAlign w:val="center"/>
          </w:tcPr>
          <w:p w14:paraId="3A7E2575"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2019</w:t>
            </w:r>
          </w:p>
        </w:tc>
        <w:tc>
          <w:tcPr>
            <w:tcW w:w="1134" w:type="dxa"/>
            <w:gridSpan w:val="3"/>
            <w:tcBorders>
              <w:top w:val="single" w:sz="12" w:space="0" w:color="auto"/>
              <w:left w:val="nil"/>
              <w:bottom w:val="single" w:sz="8" w:space="0" w:color="auto"/>
              <w:right w:val="nil"/>
            </w:tcBorders>
            <w:shd w:val="clear" w:color="auto" w:fill="FFFF00"/>
          </w:tcPr>
          <w:p w14:paraId="146FD9F1"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30.6.2020</w:t>
            </w:r>
          </w:p>
        </w:tc>
      </w:tr>
      <w:tr w:rsidR="00865B3C" w:rsidRPr="00865B3C" w14:paraId="1ABDDC9A" w14:textId="77777777" w:rsidTr="00865B3C">
        <w:trPr>
          <w:trHeight w:val="50"/>
        </w:trPr>
        <w:tc>
          <w:tcPr>
            <w:tcW w:w="5671" w:type="dxa"/>
            <w:tcBorders>
              <w:top w:val="single" w:sz="8" w:space="0" w:color="auto"/>
              <w:left w:val="nil"/>
              <w:bottom w:val="nil"/>
              <w:right w:val="nil"/>
            </w:tcBorders>
            <w:shd w:val="clear" w:color="auto" w:fill="FFFFFF"/>
            <w:noWrap/>
            <w:vAlign w:val="center"/>
          </w:tcPr>
          <w:p w14:paraId="3F85DB59" w14:textId="77777777" w:rsidR="00865B3C" w:rsidRPr="00865B3C" w:rsidRDefault="00865B3C" w:rsidP="00856149">
            <w:pPr>
              <w:spacing w:after="0" w:line="276" w:lineRule="auto"/>
              <w:ind w:left="-66"/>
              <w:jc w:val="both"/>
              <w:rPr>
                <w:rFonts w:eastAsia="Times New Roman" w:cs="Times New Roman"/>
                <w:b/>
                <w:bCs/>
                <w:caps/>
                <w:color w:val="000000"/>
                <w:sz w:val="20"/>
                <w:szCs w:val="20"/>
              </w:rPr>
            </w:pPr>
            <w:r w:rsidRPr="00865B3C">
              <w:rPr>
                <w:rFonts w:eastAsia="Times New Roman" w:cs="Times New Roman"/>
                <w:b/>
                <w:bCs/>
                <w:caps/>
                <w:color w:val="000000"/>
                <w:sz w:val="20"/>
                <w:szCs w:val="20"/>
              </w:rPr>
              <w:t>Aktiva</w:t>
            </w:r>
          </w:p>
        </w:tc>
        <w:tc>
          <w:tcPr>
            <w:tcW w:w="992" w:type="dxa"/>
            <w:tcBorders>
              <w:top w:val="single" w:sz="8" w:space="0" w:color="auto"/>
              <w:left w:val="nil"/>
              <w:bottom w:val="nil"/>
              <w:right w:val="nil"/>
            </w:tcBorders>
            <w:shd w:val="clear" w:color="000000" w:fill="FFFFFF"/>
            <w:noWrap/>
            <w:vAlign w:val="center"/>
          </w:tcPr>
          <w:p w14:paraId="0D3CAE2A" w14:textId="77777777" w:rsidR="00865B3C" w:rsidRPr="00865B3C" w:rsidRDefault="00865B3C" w:rsidP="00AA77D8">
            <w:pPr>
              <w:spacing w:after="0" w:line="276" w:lineRule="auto"/>
              <w:jc w:val="right"/>
              <w:rPr>
                <w:rFonts w:eastAsia="Times New Roman" w:cs="Times New Roman"/>
                <w:color w:val="000000"/>
                <w:sz w:val="20"/>
                <w:szCs w:val="20"/>
              </w:rPr>
            </w:pPr>
          </w:p>
        </w:tc>
        <w:tc>
          <w:tcPr>
            <w:tcW w:w="992" w:type="dxa"/>
            <w:tcBorders>
              <w:top w:val="single" w:sz="8" w:space="0" w:color="auto"/>
              <w:left w:val="nil"/>
              <w:right w:val="nil"/>
            </w:tcBorders>
            <w:shd w:val="clear" w:color="auto" w:fill="auto"/>
            <w:noWrap/>
            <w:vAlign w:val="center"/>
          </w:tcPr>
          <w:p w14:paraId="6BF24A03" w14:textId="77777777" w:rsidR="00865B3C" w:rsidRPr="00865B3C" w:rsidRDefault="00865B3C" w:rsidP="00AA77D8">
            <w:pPr>
              <w:tabs>
                <w:tab w:val="decimal" w:pos="934"/>
                <w:tab w:val="decimal" w:pos="1094"/>
              </w:tabs>
              <w:spacing w:after="0" w:line="276" w:lineRule="auto"/>
              <w:ind w:right="-95"/>
              <w:jc w:val="right"/>
              <w:rPr>
                <w:rFonts w:eastAsia="Times New Roman" w:cs="Times New Roman"/>
                <w:sz w:val="20"/>
                <w:szCs w:val="20"/>
              </w:rPr>
            </w:pPr>
          </w:p>
        </w:tc>
        <w:tc>
          <w:tcPr>
            <w:tcW w:w="992" w:type="dxa"/>
            <w:tcBorders>
              <w:top w:val="single" w:sz="8" w:space="0" w:color="auto"/>
              <w:left w:val="nil"/>
              <w:bottom w:val="nil"/>
              <w:right w:val="nil"/>
            </w:tcBorders>
            <w:shd w:val="clear" w:color="auto" w:fill="FFFFFF"/>
            <w:noWrap/>
            <w:vAlign w:val="center"/>
          </w:tcPr>
          <w:p w14:paraId="490E3D3D" w14:textId="77777777" w:rsidR="00865B3C" w:rsidRPr="00865B3C" w:rsidRDefault="00865B3C" w:rsidP="00AA77D8">
            <w:pPr>
              <w:tabs>
                <w:tab w:val="decimal" w:pos="934"/>
                <w:tab w:val="decimal" w:pos="1094"/>
              </w:tabs>
              <w:spacing w:after="0" w:line="276" w:lineRule="auto"/>
              <w:ind w:right="-95"/>
              <w:jc w:val="right"/>
              <w:rPr>
                <w:rFonts w:eastAsia="Times New Roman" w:cs="Times New Roman"/>
                <w:sz w:val="20"/>
                <w:szCs w:val="20"/>
              </w:rPr>
            </w:pPr>
          </w:p>
        </w:tc>
        <w:tc>
          <w:tcPr>
            <w:tcW w:w="1134" w:type="dxa"/>
            <w:gridSpan w:val="3"/>
            <w:tcBorders>
              <w:top w:val="single" w:sz="8" w:space="0" w:color="auto"/>
              <w:left w:val="nil"/>
              <w:bottom w:val="nil"/>
              <w:right w:val="nil"/>
            </w:tcBorders>
            <w:shd w:val="clear" w:color="auto" w:fill="FFFFFF"/>
          </w:tcPr>
          <w:p w14:paraId="42503995" w14:textId="77777777" w:rsidR="00865B3C" w:rsidRPr="00865B3C" w:rsidRDefault="00865B3C" w:rsidP="00AA77D8">
            <w:pPr>
              <w:tabs>
                <w:tab w:val="decimal" w:pos="934"/>
                <w:tab w:val="decimal" w:pos="1094"/>
              </w:tabs>
              <w:spacing w:after="0" w:line="276" w:lineRule="auto"/>
              <w:ind w:right="-95"/>
              <w:jc w:val="right"/>
              <w:rPr>
                <w:rFonts w:eastAsia="Times New Roman" w:cs="Times New Roman"/>
                <w:sz w:val="20"/>
                <w:szCs w:val="20"/>
              </w:rPr>
            </w:pPr>
          </w:p>
        </w:tc>
      </w:tr>
      <w:tr w:rsidR="00865B3C" w:rsidRPr="00865B3C" w14:paraId="5CF2F39E" w14:textId="77777777" w:rsidTr="00865B3C">
        <w:trPr>
          <w:trHeight w:val="20"/>
        </w:trPr>
        <w:tc>
          <w:tcPr>
            <w:tcW w:w="5671" w:type="dxa"/>
            <w:tcBorders>
              <w:top w:val="nil"/>
              <w:left w:val="nil"/>
              <w:bottom w:val="nil"/>
              <w:right w:val="nil"/>
            </w:tcBorders>
            <w:shd w:val="clear" w:color="auto" w:fill="auto"/>
            <w:noWrap/>
            <w:vAlign w:val="bottom"/>
          </w:tcPr>
          <w:p w14:paraId="00C4C0C3"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lastRenderedPageBreak/>
              <w:t>Pokladní hotovost, vklady u centrálních bank a ostatní vklady splatné na požádání</w:t>
            </w:r>
          </w:p>
        </w:tc>
        <w:tc>
          <w:tcPr>
            <w:tcW w:w="992" w:type="dxa"/>
            <w:tcBorders>
              <w:top w:val="nil"/>
              <w:left w:val="nil"/>
              <w:bottom w:val="nil"/>
              <w:right w:val="nil"/>
            </w:tcBorders>
            <w:shd w:val="clear" w:color="000000" w:fill="FFFFFF"/>
            <w:noWrap/>
            <w:vAlign w:val="bottom"/>
          </w:tcPr>
          <w:p w14:paraId="1723B0E4"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10 190</w:t>
            </w:r>
          </w:p>
        </w:tc>
        <w:tc>
          <w:tcPr>
            <w:tcW w:w="992" w:type="dxa"/>
            <w:tcBorders>
              <w:top w:val="nil"/>
              <w:left w:val="nil"/>
              <w:bottom w:val="nil"/>
              <w:right w:val="nil"/>
            </w:tcBorders>
            <w:shd w:val="clear" w:color="000000" w:fill="FFFFFF"/>
            <w:noWrap/>
            <w:vAlign w:val="bottom"/>
          </w:tcPr>
          <w:p w14:paraId="4F45C936"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12 006</w:t>
            </w:r>
          </w:p>
        </w:tc>
        <w:tc>
          <w:tcPr>
            <w:tcW w:w="992" w:type="dxa"/>
            <w:tcBorders>
              <w:top w:val="nil"/>
              <w:left w:val="nil"/>
              <w:bottom w:val="nil"/>
              <w:right w:val="nil"/>
            </w:tcBorders>
            <w:shd w:val="clear" w:color="000000" w:fill="FFFFFF"/>
            <w:noWrap/>
            <w:vAlign w:val="bottom"/>
          </w:tcPr>
          <w:p w14:paraId="4344EC4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14 040</w:t>
            </w:r>
          </w:p>
        </w:tc>
        <w:tc>
          <w:tcPr>
            <w:tcW w:w="1134" w:type="dxa"/>
            <w:gridSpan w:val="3"/>
            <w:tcBorders>
              <w:top w:val="nil"/>
              <w:left w:val="nil"/>
              <w:bottom w:val="nil"/>
              <w:right w:val="nil"/>
            </w:tcBorders>
            <w:shd w:val="clear" w:color="auto" w:fill="auto"/>
            <w:vAlign w:val="bottom"/>
          </w:tcPr>
          <w:p w14:paraId="462A39A9"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15 909</w:t>
            </w:r>
          </w:p>
        </w:tc>
      </w:tr>
      <w:tr w:rsidR="00865B3C" w:rsidRPr="00865B3C" w14:paraId="7EA25423" w14:textId="77777777" w:rsidTr="00865B3C">
        <w:trPr>
          <w:trHeight w:val="20"/>
        </w:trPr>
        <w:tc>
          <w:tcPr>
            <w:tcW w:w="5671" w:type="dxa"/>
            <w:tcBorders>
              <w:top w:val="nil"/>
              <w:left w:val="nil"/>
              <w:bottom w:val="nil"/>
              <w:right w:val="nil"/>
            </w:tcBorders>
            <w:shd w:val="clear" w:color="auto" w:fill="auto"/>
            <w:noWrap/>
            <w:vAlign w:val="center"/>
          </w:tcPr>
          <w:p w14:paraId="6F78CB76"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Finanční aktiva k obchodování</w:t>
            </w:r>
          </w:p>
        </w:tc>
        <w:tc>
          <w:tcPr>
            <w:tcW w:w="992" w:type="dxa"/>
            <w:tcBorders>
              <w:top w:val="nil"/>
              <w:left w:val="nil"/>
              <w:bottom w:val="nil"/>
              <w:right w:val="nil"/>
            </w:tcBorders>
            <w:shd w:val="clear" w:color="auto" w:fill="auto"/>
            <w:noWrap/>
            <w:vAlign w:val="bottom"/>
          </w:tcPr>
          <w:p w14:paraId="0822709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1 574</w:t>
            </w:r>
          </w:p>
        </w:tc>
        <w:tc>
          <w:tcPr>
            <w:tcW w:w="992" w:type="dxa"/>
            <w:tcBorders>
              <w:top w:val="nil"/>
              <w:left w:val="nil"/>
              <w:bottom w:val="nil"/>
              <w:right w:val="nil"/>
            </w:tcBorders>
            <w:shd w:val="clear" w:color="auto" w:fill="auto"/>
            <w:noWrap/>
            <w:vAlign w:val="bottom"/>
          </w:tcPr>
          <w:p w14:paraId="2C4735E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1 962</w:t>
            </w:r>
          </w:p>
        </w:tc>
        <w:tc>
          <w:tcPr>
            <w:tcW w:w="992" w:type="dxa"/>
            <w:tcBorders>
              <w:top w:val="nil"/>
              <w:left w:val="nil"/>
              <w:bottom w:val="nil"/>
              <w:right w:val="nil"/>
            </w:tcBorders>
            <w:shd w:val="clear" w:color="auto" w:fill="auto"/>
            <w:noWrap/>
            <w:vAlign w:val="bottom"/>
          </w:tcPr>
          <w:p w14:paraId="42EB332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1 763</w:t>
            </w:r>
          </w:p>
        </w:tc>
        <w:tc>
          <w:tcPr>
            <w:tcW w:w="1134" w:type="dxa"/>
            <w:gridSpan w:val="3"/>
            <w:tcBorders>
              <w:top w:val="nil"/>
              <w:left w:val="nil"/>
              <w:bottom w:val="nil"/>
              <w:right w:val="nil"/>
            </w:tcBorders>
            <w:shd w:val="clear" w:color="auto" w:fill="auto"/>
            <w:vAlign w:val="bottom"/>
          </w:tcPr>
          <w:p w14:paraId="541682B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4 797</w:t>
            </w:r>
          </w:p>
        </w:tc>
      </w:tr>
      <w:tr w:rsidR="00865B3C" w:rsidRPr="00865B3C" w14:paraId="793C1344" w14:textId="77777777" w:rsidTr="00865B3C">
        <w:trPr>
          <w:trHeight w:val="20"/>
        </w:trPr>
        <w:tc>
          <w:tcPr>
            <w:tcW w:w="5671" w:type="dxa"/>
            <w:tcBorders>
              <w:top w:val="nil"/>
              <w:left w:val="nil"/>
              <w:bottom w:val="nil"/>
              <w:right w:val="nil"/>
            </w:tcBorders>
            <w:shd w:val="clear" w:color="auto" w:fill="auto"/>
            <w:noWrap/>
            <w:vAlign w:val="center"/>
          </w:tcPr>
          <w:p w14:paraId="3482CDDC"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Deriváty k obchodování</w:t>
            </w:r>
          </w:p>
        </w:tc>
        <w:tc>
          <w:tcPr>
            <w:tcW w:w="992" w:type="dxa"/>
            <w:tcBorders>
              <w:top w:val="nil"/>
              <w:left w:val="nil"/>
              <w:bottom w:val="nil"/>
              <w:right w:val="nil"/>
            </w:tcBorders>
            <w:shd w:val="clear" w:color="auto" w:fill="auto"/>
            <w:noWrap/>
            <w:vAlign w:val="bottom"/>
          </w:tcPr>
          <w:p w14:paraId="1920303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1 574</w:t>
            </w:r>
          </w:p>
        </w:tc>
        <w:tc>
          <w:tcPr>
            <w:tcW w:w="992" w:type="dxa"/>
            <w:tcBorders>
              <w:top w:val="nil"/>
              <w:left w:val="nil"/>
              <w:bottom w:val="nil"/>
              <w:right w:val="nil"/>
            </w:tcBorders>
            <w:shd w:val="clear" w:color="auto" w:fill="auto"/>
            <w:noWrap/>
            <w:vAlign w:val="bottom"/>
          </w:tcPr>
          <w:p w14:paraId="02E75A4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1 694</w:t>
            </w:r>
          </w:p>
        </w:tc>
        <w:tc>
          <w:tcPr>
            <w:tcW w:w="992" w:type="dxa"/>
            <w:tcBorders>
              <w:top w:val="nil"/>
              <w:left w:val="nil"/>
              <w:bottom w:val="nil"/>
              <w:right w:val="nil"/>
            </w:tcBorders>
            <w:shd w:val="clear" w:color="auto" w:fill="auto"/>
            <w:noWrap/>
            <w:vAlign w:val="bottom"/>
          </w:tcPr>
          <w:p w14:paraId="007FC9B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1 669</w:t>
            </w:r>
          </w:p>
        </w:tc>
        <w:tc>
          <w:tcPr>
            <w:tcW w:w="1134" w:type="dxa"/>
            <w:gridSpan w:val="3"/>
            <w:tcBorders>
              <w:top w:val="nil"/>
              <w:left w:val="nil"/>
              <w:bottom w:val="nil"/>
              <w:right w:val="nil"/>
            </w:tcBorders>
            <w:shd w:val="clear" w:color="auto" w:fill="auto"/>
            <w:vAlign w:val="bottom"/>
          </w:tcPr>
          <w:p w14:paraId="416921A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3 072</w:t>
            </w:r>
          </w:p>
        </w:tc>
      </w:tr>
      <w:tr w:rsidR="00865B3C" w:rsidRPr="00865B3C" w14:paraId="151FF3D3" w14:textId="77777777" w:rsidTr="00865B3C">
        <w:trPr>
          <w:trHeight w:val="20"/>
        </w:trPr>
        <w:tc>
          <w:tcPr>
            <w:tcW w:w="5671" w:type="dxa"/>
            <w:tcBorders>
              <w:top w:val="nil"/>
              <w:left w:val="nil"/>
              <w:bottom w:val="nil"/>
              <w:right w:val="nil"/>
            </w:tcBorders>
            <w:shd w:val="clear" w:color="auto" w:fill="FFFFFF"/>
            <w:noWrap/>
            <w:vAlign w:val="center"/>
          </w:tcPr>
          <w:p w14:paraId="10BC197B"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Cenné papíry k obchodování</w:t>
            </w:r>
          </w:p>
        </w:tc>
        <w:tc>
          <w:tcPr>
            <w:tcW w:w="992" w:type="dxa"/>
            <w:tcBorders>
              <w:top w:val="nil"/>
              <w:left w:val="nil"/>
              <w:bottom w:val="nil"/>
              <w:right w:val="nil"/>
            </w:tcBorders>
            <w:shd w:val="clear" w:color="auto" w:fill="auto"/>
            <w:noWrap/>
            <w:vAlign w:val="bottom"/>
          </w:tcPr>
          <w:p w14:paraId="1B2A4E3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410849B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268</w:t>
            </w:r>
          </w:p>
        </w:tc>
        <w:tc>
          <w:tcPr>
            <w:tcW w:w="992" w:type="dxa"/>
            <w:tcBorders>
              <w:top w:val="nil"/>
              <w:left w:val="nil"/>
              <w:bottom w:val="nil"/>
              <w:right w:val="nil"/>
            </w:tcBorders>
            <w:shd w:val="clear" w:color="000000" w:fill="FFFFFF"/>
            <w:noWrap/>
            <w:vAlign w:val="bottom"/>
          </w:tcPr>
          <w:p w14:paraId="7601876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94</w:t>
            </w:r>
          </w:p>
        </w:tc>
        <w:tc>
          <w:tcPr>
            <w:tcW w:w="1134" w:type="dxa"/>
            <w:gridSpan w:val="3"/>
            <w:tcBorders>
              <w:top w:val="nil"/>
              <w:left w:val="nil"/>
              <w:bottom w:val="nil"/>
              <w:right w:val="nil"/>
            </w:tcBorders>
            <w:shd w:val="clear" w:color="auto" w:fill="auto"/>
            <w:vAlign w:val="bottom"/>
          </w:tcPr>
          <w:p w14:paraId="33B3D5D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1 725</w:t>
            </w:r>
          </w:p>
        </w:tc>
      </w:tr>
      <w:tr w:rsidR="00865B3C" w:rsidRPr="00865B3C" w14:paraId="4C6EEB8B" w14:textId="77777777" w:rsidTr="00865B3C">
        <w:trPr>
          <w:trHeight w:val="20"/>
        </w:trPr>
        <w:tc>
          <w:tcPr>
            <w:tcW w:w="5671" w:type="dxa"/>
            <w:tcBorders>
              <w:top w:val="nil"/>
              <w:left w:val="nil"/>
              <w:bottom w:val="nil"/>
              <w:right w:val="nil"/>
            </w:tcBorders>
            <w:shd w:val="clear" w:color="auto" w:fill="FFFFFF"/>
            <w:noWrap/>
            <w:vAlign w:val="center"/>
          </w:tcPr>
          <w:p w14:paraId="05D9A126"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Neobchodní finanční aktiva povinně oceňovaná v reálné hodnotě vykázané do zisku nebo ztráty</w:t>
            </w:r>
          </w:p>
        </w:tc>
        <w:tc>
          <w:tcPr>
            <w:tcW w:w="992" w:type="dxa"/>
            <w:tcBorders>
              <w:top w:val="nil"/>
              <w:left w:val="nil"/>
              <w:bottom w:val="nil"/>
              <w:right w:val="nil"/>
            </w:tcBorders>
            <w:shd w:val="clear" w:color="auto" w:fill="auto"/>
            <w:noWrap/>
            <w:vAlign w:val="bottom"/>
          </w:tcPr>
          <w:p w14:paraId="0907EAD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0FC8671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w:t>
            </w:r>
          </w:p>
        </w:tc>
        <w:tc>
          <w:tcPr>
            <w:tcW w:w="992" w:type="dxa"/>
            <w:tcBorders>
              <w:top w:val="nil"/>
              <w:left w:val="nil"/>
              <w:bottom w:val="nil"/>
              <w:right w:val="nil"/>
            </w:tcBorders>
            <w:shd w:val="clear" w:color="000000" w:fill="FFFFFF"/>
            <w:noWrap/>
            <w:vAlign w:val="bottom"/>
          </w:tcPr>
          <w:p w14:paraId="162786F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 -</w:t>
            </w:r>
          </w:p>
        </w:tc>
        <w:tc>
          <w:tcPr>
            <w:tcW w:w="1134" w:type="dxa"/>
            <w:gridSpan w:val="3"/>
            <w:tcBorders>
              <w:top w:val="nil"/>
              <w:left w:val="nil"/>
              <w:bottom w:val="nil"/>
              <w:right w:val="nil"/>
            </w:tcBorders>
            <w:shd w:val="clear" w:color="auto" w:fill="auto"/>
            <w:vAlign w:val="bottom"/>
          </w:tcPr>
          <w:p w14:paraId="05709E2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127</w:t>
            </w:r>
          </w:p>
        </w:tc>
      </w:tr>
      <w:tr w:rsidR="00865B3C" w:rsidRPr="00865B3C" w14:paraId="54471511" w14:textId="77777777" w:rsidTr="00865B3C">
        <w:trPr>
          <w:trHeight w:val="20"/>
        </w:trPr>
        <w:tc>
          <w:tcPr>
            <w:tcW w:w="5671" w:type="dxa"/>
            <w:tcBorders>
              <w:top w:val="nil"/>
              <w:left w:val="nil"/>
              <w:bottom w:val="nil"/>
              <w:right w:val="nil"/>
            </w:tcBorders>
            <w:shd w:val="clear" w:color="auto" w:fill="FFFFFF"/>
            <w:noWrap/>
            <w:vAlign w:val="center"/>
          </w:tcPr>
          <w:p w14:paraId="564F1CFE"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Cenné papíry oceňované reálnou hodnotou proti účtům nákladů nebo výnosů</w:t>
            </w:r>
          </w:p>
        </w:tc>
        <w:tc>
          <w:tcPr>
            <w:tcW w:w="992" w:type="dxa"/>
            <w:tcBorders>
              <w:top w:val="nil"/>
              <w:left w:val="nil"/>
              <w:bottom w:val="nil"/>
              <w:right w:val="nil"/>
            </w:tcBorders>
            <w:shd w:val="clear" w:color="auto" w:fill="auto"/>
            <w:noWrap/>
            <w:vAlign w:val="bottom"/>
          </w:tcPr>
          <w:p w14:paraId="341832E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156</w:t>
            </w:r>
          </w:p>
        </w:tc>
        <w:tc>
          <w:tcPr>
            <w:tcW w:w="992" w:type="dxa"/>
            <w:tcBorders>
              <w:top w:val="nil"/>
              <w:left w:val="nil"/>
              <w:bottom w:val="nil"/>
              <w:right w:val="nil"/>
            </w:tcBorders>
            <w:shd w:val="clear" w:color="000000" w:fill="FFFFFF"/>
            <w:noWrap/>
            <w:vAlign w:val="bottom"/>
          </w:tcPr>
          <w:p w14:paraId="1F64F68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7F5328A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1134" w:type="dxa"/>
            <w:gridSpan w:val="3"/>
            <w:tcBorders>
              <w:top w:val="nil"/>
              <w:left w:val="nil"/>
              <w:bottom w:val="nil"/>
              <w:right w:val="nil"/>
            </w:tcBorders>
            <w:shd w:val="clear" w:color="auto" w:fill="auto"/>
            <w:vAlign w:val="bottom"/>
          </w:tcPr>
          <w:p w14:paraId="344BA00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r>
      <w:tr w:rsidR="00865B3C" w:rsidRPr="00865B3C" w14:paraId="40BF6617" w14:textId="77777777" w:rsidTr="00865B3C">
        <w:trPr>
          <w:trHeight w:val="20"/>
        </w:trPr>
        <w:tc>
          <w:tcPr>
            <w:tcW w:w="5671" w:type="dxa"/>
            <w:tcBorders>
              <w:top w:val="nil"/>
              <w:left w:val="nil"/>
              <w:bottom w:val="nil"/>
              <w:right w:val="nil"/>
            </w:tcBorders>
            <w:shd w:val="clear" w:color="auto" w:fill="FFFFFF"/>
            <w:noWrap/>
            <w:vAlign w:val="center"/>
          </w:tcPr>
          <w:p w14:paraId="460015ED"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Finanční aktiva v reálné hodnotě vykázané do ostatního úplného výsledku hospodaření</w:t>
            </w:r>
          </w:p>
        </w:tc>
        <w:tc>
          <w:tcPr>
            <w:tcW w:w="992" w:type="dxa"/>
            <w:tcBorders>
              <w:top w:val="nil"/>
              <w:left w:val="nil"/>
              <w:bottom w:val="nil"/>
              <w:right w:val="nil"/>
            </w:tcBorders>
            <w:shd w:val="clear" w:color="auto" w:fill="auto"/>
            <w:noWrap/>
            <w:vAlign w:val="bottom"/>
          </w:tcPr>
          <w:p w14:paraId="0C55FC6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59C0534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629</w:t>
            </w:r>
          </w:p>
        </w:tc>
        <w:tc>
          <w:tcPr>
            <w:tcW w:w="992" w:type="dxa"/>
            <w:tcBorders>
              <w:top w:val="nil"/>
              <w:left w:val="nil"/>
              <w:bottom w:val="nil"/>
              <w:right w:val="nil"/>
            </w:tcBorders>
            <w:shd w:val="clear" w:color="000000" w:fill="FFFFFF"/>
            <w:noWrap/>
            <w:vAlign w:val="bottom"/>
          </w:tcPr>
          <w:p w14:paraId="4246D70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735</w:t>
            </w:r>
          </w:p>
        </w:tc>
        <w:tc>
          <w:tcPr>
            <w:tcW w:w="1134" w:type="dxa"/>
            <w:gridSpan w:val="3"/>
            <w:tcBorders>
              <w:top w:val="nil"/>
              <w:left w:val="nil"/>
              <w:bottom w:val="nil"/>
              <w:right w:val="nil"/>
            </w:tcBorders>
            <w:shd w:val="clear" w:color="auto" w:fill="auto"/>
            <w:vAlign w:val="bottom"/>
          </w:tcPr>
          <w:p w14:paraId="32B40F6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687</w:t>
            </w:r>
          </w:p>
        </w:tc>
      </w:tr>
      <w:tr w:rsidR="00865B3C" w:rsidRPr="00865B3C" w14:paraId="4694D911" w14:textId="77777777" w:rsidTr="00865B3C">
        <w:trPr>
          <w:trHeight w:val="20"/>
        </w:trPr>
        <w:tc>
          <w:tcPr>
            <w:tcW w:w="5671" w:type="dxa"/>
            <w:tcBorders>
              <w:top w:val="nil"/>
              <w:left w:val="nil"/>
              <w:bottom w:val="nil"/>
              <w:right w:val="nil"/>
            </w:tcBorders>
            <w:shd w:val="clear" w:color="auto" w:fill="FFFFFF"/>
            <w:noWrap/>
            <w:vAlign w:val="center"/>
          </w:tcPr>
          <w:p w14:paraId="09BC5660"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Realizovatelné cenné papíry</w:t>
            </w:r>
          </w:p>
        </w:tc>
        <w:tc>
          <w:tcPr>
            <w:tcW w:w="992" w:type="dxa"/>
            <w:tcBorders>
              <w:top w:val="nil"/>
              <w:left w:val="nil"/>
              <w:bottom w:val="nil"/>
              <w:right w:val="nil"/>
            </w:tcBorders>
            <w:shd w:val="clear" w:color="auto" w:fill="auto"/>
            <w:noWrap/>
            <w:vAlign w:val="bottom"/>
          </w:tcPr>
          <w:p w14:paraId="194A686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604</w:t>
            </w:r>
          </w:p>
        </w:tc>
        <w:tc>
          <w:tcPr>
            <w:tcW w:w="992" w:type="dxa"/>
            <w:tcBorders>
              <w:top w:val="nil"/>
              <w:left w:val="nil"/>
              <w:bottom w:val="nil"/>
              <w:right w:val="nil"/>
            </w:tcBorders>
            <w:shd w:val="clear" w:color="000000" w:fill="FFFFFF"/>
            <w:noWrap/>
            <w:vAlign w:val="bottom"/>
          </w:tcPr>
          <w:p w14:paraId="56952FB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3454143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1134" w:type="dxa"/>
            <w:gridSpan w:val="3"/>
            <w:tcBorders>
              <w:top w:val="nil"/>
              <w:left w:val="nil"/>
              <w:bottom w:val="nil"/>
              <w:right w:val="nil"/>
            </w:tcBorders>
            <w:shd w:val="clear" w:color="auto" w:fill="auto"/>
            <w:vAlign w:val="bottom"/>
          </w:tcPr>
          <w:p w14:paraId="189927B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r>
      <w:tr w:rsidR="00865B3C" w:rsidRPr="00865B3C" w14:paraId="3F627F66" w14:textId="77777777" w:rsidTr="00865B3C">
        <w:trPr>
          <w:trHeight w:val="20"/>
        </w:trPr>
        <w:tc>
          <w:tcPr>
            <w:tcW w:w="5671" w:type="dxa"/>
            <w:tcBorders>
              <w:top w:val="nil"/>
              <w:left w:val="nil"/>
              <w:bottom w:val="nil"/>
              <w:right w:val="nil"/>
            </w:tcBorders>
            <w:shd w:val="clear" w:color="auto" w:fill="FFFFFF"/>
            <w:noWrap/>
            <w:vAlign w:val="center"/>
          </w:tcPr>
          <w:p w14:paraId="57582F40"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Finanční aktiva v naběhlé hodnotě</w:t>
            </w:r>
          </w:p>
        </w:tc>
        <w:tc>
          <w:tcPr>
            <w:tcW w:w="992" w:type="dxa"/>
            <w:tcBorders>
              <w:top w:val="nil"/>
              <w:left w:val="nil"/>
              <w:bottom w:val="nil"/>
              <w:right w:val="nil"/>
            </w:tcBorders>
            <w:shd w:val="clear" w:color="auto" w:fill="auto"/>
            <w:noWrap/>
            <w:vAlign w:val="bottom"/>
          </w:tcPr>
          <w:p w14:paraId="6D198E6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0879E62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340 315</w:t>
            </w:r>
          </w:p>
        </w:tc>
        <w:tc>
          <w:tcPr>
            <w:tcW w:w="992" w:type="dxa"/>
            <w:tcBorders>
              <w:top w:val="nil"/>
              <w:left w:val="nil"/>
              <w:bottom w:val="nil"/>
              <w:right w:val="nil"/>
            </w:tcBorders>
            <w:shd w:val="clear" w:color="000000" w:fill="FFFFFF"/>
            <w:noWrap/>
            <w:vAlign w:val="bottom"/>
          </w:tcPr>
          <w:p w14:paraId="478052D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344 567</w:t>
            </w:r>
          </w:p>
        </w:tc>
        <w:tc>
          <w:tcPr>
            <w:tcW w:w="1134" w:type="dxa"/>
            <w:gridSpan w:val="3"/>
            <w:tcBorders>
              <w:top w:val="nil"/>
              <w:left w:val="nil"/>
              <w:bottom w:val="nil"/>
              <w:right w:val="nil"/>
            </w:tcBorders>
            <w:shd w:val="clear" w:color="auto" w:fill="auto"/>
            <w:vAlign w:val="bottom"/>
          </w:tcPr>
          <w:p w14:paraId="20F7040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377 269</w:t>
            </w:r>
          </w:p>
        </w:tc>
      </w:tr>
      <w:tr w:rsidR="00865B3C" w:rsidRPr="00865B3C" w14:paraId="54D2481E" w14:textId="77777777" w:rsidTr="00865B3C">
        <w:trPr>
          <w:trHeight w:val="20"/>
        </w:trPr>
        <w:tc>
          <w:tcPr>
            <w:tcW w:w="5671" w:type="dxa"/>
            <w:tcBorders>
              <w:top w:val="nil"/>
              <w:left w:val="nil"/>
              <w:bottom w:val="nil"/>
              <w:right w:val="nil"/>
            </w:tcBorders>
            <w:shd w:val="clear" w:color="auto" w:fill="FFFFFF"/>
            <w:noWrap/>
            <w:vAlign w:val="center"/>
          </w:tcPr>
          <w:p w14:paraId="40BE3363"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Pohledávky za bankami</w:t>
            </w:r>
          </w:p>
        </w:tc>
        <w:tc>
          <w:tcPr>
            <w:tcW w:w="992" w:type="dxa"/>
            <w:tcBorders>
              <w:top w:val="nil"/>
              <w:left w:val="nil"/>
              <w:bottom w:val="nil"/>
              <w:right w:val="nil"/>
            </w:tcBorders>
            <w:shd w:val="clear" w:color="auto" w:fill="auto"/>
            <w:noWrap/>
            <w:vAlign w:val="bottom"/>
          </w:tcPr>
          <w:p w14:paraId="5BC633C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5DBE53A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99 358</w:t>
            </w:r>
          </w:p>
        </w:tc>
        <w:tc>
          <w:tcPr>
            <w:tcW w:w="992" w:type="dxa"/>
            <w:tcBorders>
              <w:top w:val="nil"/>
              <w:left w:val="nil"/>
              <w:bottom w:val="nil"/>
              <w:right w:val="nil"/>
            </w:tcBorders>
            <w:shd w:val="clear" w:color="000000" w:fill="FFFFFF"/>
            <w:noWrap/>
            <w:vAlign w:val="bottom"/>
          </w:tcPr>
          <w:p w14:paraId="699D1EF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87 043</w:t>
            </w:r>
          </w:p>
        </w:tc>
        <w:tc>
          <w:tcPr>
            <w:tcW w:w="1134" w:type="dxa"/>
            <w:gridSpan w:val="3"/>
            <w:tcBorders>
              <w:top w:val="nil"/>
              <w:left w:val="nil"/>
              <w:bottom w:val="nil"/>
              <w:right w:val="nil"/>
            </w:tcBorders>
            <w:shd w:val="clear" w:color="auto" w:fill="auto"/>
            <w:vAlign w:val="bottom"/>
          </w:tcPr>
          <w:p w14:paraId="4BBAB58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95 436</w:t>
            </w:r>
          </w:p>
        </w:tc>
      </w:tr>
      <w:tr w:rsidR="00865B3C" w:rsidRPr="00865B3C" w14:paraId="533F6715" w14:textId="77777777" w:rsidTr="00865B3C">
        <w:trPr>
          <w:trHeight w:val="20"/>
        </w:trPr>
        <w:tc>
          <w:tcPr>
            <w:tcW w:w="5671" w:type="dxa"/>
            <w:tcBorders>
              <w:top w:val="nil"/>
              <w:left w:val="nil"/>
              <w:bottom w:val="nil"/>
              <w:right w:val="nil"/>
            </w:tcBorders>
            <w:shd w:val="clear" w:color="auto" w:fill="FFFFFF"/>
            <w:noWrap/>
            <w:vAlign w:val="center"/>
          </w:tcPr>
          <w:p w14:paraId="22258576"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Pohledávky za klienty</w:t>
            </w:r>
          </w:p>
        </w:tc>
        <w:tc>
          <w:tcPr>
            <w:tcW w:w="992" w:type="dxa"/>
            <w:tcBorders>
              <w:top w:val="nil"/>
              <w:left w:val="nil"/>
              <w:bottom w:val="nil"/>
              <w:right w:val="nil"/>
            </w:tcBorders>
            <w:shd w:val="clear" w:color="auto" w:fill="auto"/>
            <w:noWrap/>
            <w:vAlign w:val="bottom"/>
          </w:tcPr>
          <w:p w14:paraId="147DBC3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36A9396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234 092</w:t>
            </w:r>
          </w:p>
        </w:tc>
        <w:tc>
          <w:tcPr>
            <w:tcW w:w="992" w:type="dxa"/>
            <w:tcBorders>
              <w:top w:val="nil"/>
              <w:left w:val="nil"/>
              <w:bottom w:val="nil"/>
              <w:right w:val="nil"/>
            </w:tcBorders>
            <w:shd w:val="clear" w:color="000000" w:fill="FFFFFF"/>
            <w:noWrap/>
            <w:vAlign w:val="bottom"/>
          </w:tcPr>
          <w:p w14:paraId="150B241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246 645</w:t>
            </w:r>
          </w:p>
        </w:tc>
        <w:tc>
          <w:tcPr>
            <w:tcW w:w="1134" w:type="dxa"/>
            <w:gridSpan w:val="3"/>
            <w:tcBorders>
              <w:top w:val="nil"/>
              <w:left w:val="nil"/>
              <w:bottom w:val="nil"/>
              <w:right w:val="nil"/>
            </w:tcBorders>
            <w:shd w:val="clear" w:color="auto" w:fill="auto"/>
            <w:vAlign w:val="bottom"/>
          </w:tcPr>
          <w:p w14:paraId="6773743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252 175</w:t>
            </w:r>
          </w:p>
        </w:tc>
      </w:tr>
      <w:tr w:rsidR="00865B3C" w:rsidRPr="00865B3C" w14:paraId="0B5968A9" w14:textId="77777777" w:rsidTr="00865B3C">
        <w:trPr>
          <w:trHeight w:val="20"/>
        </w:trPr>
        <w:tc>
          <w:tcPr>
            <w:tcW w:w="5671" w:type="dxa"/>
            <w:tcBorders>
              <w:top w:val="nil"/>
              <w:left w:val="nil"/>
              <w:bottom w:val="nil"/>
              <w:right w:val="nil"/>
            </w:tcBorders>
            <w:shd w:val="clear" w:color="auto" w:fill="FFFFFF"/>
            <w:noWrap/>
            <w:vAlign w:val="center"/>
          </w:tcPr>
          <w:p w14:paraId="4262746F"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Dluhové cenné papíry</w:t>
            </w:r>
          </w:p>
        </w:tc>
        <w:tc>
          <w:tcPr>
            <w:tcW w:w="992" w:type="dxa"/>
            <w:tcBorders>
              <w:top w:val="nil"/>
              <w:left w:val="nil"/>
              <w:bottom w:val="nil"/>
              <w:right w:val="nil"/>
            </w:tcBorders>
            <w:shd w:val="clear" w:color="auto" w:fill="auto"/>
            <w:noWrap/>
            <w:vAlign w:val="bottom"/>
          </w:tcPr>
          <w:p w14:paraId="56199E1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992" w:type="dxa"/>
            <w:tcBorders>
              <w:top w:val="nil"/>
              <w:left w:val="nil"/>
              <w:bottom w:val="nil"/>
              <w:right w:val="nil"/>
            </w:tcBorders>
            <w:shd w:val="clear" w:color="000000" w:fill="FFFFFF"/>
            <w:noWrap/>
            <w:vAlign w:val="bottom"/>
          </w:tcPr>
          <w:p w14:paraId="2FD1C08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6 865</w:t>
            </w:r>
          </w:p>
        </w:tc>
        <w:tc>
          <w:tcPr>
            <w:tcW w:w="992" w:type="dxa"/>
            <w:tcBorders>
              <w:top w:val="nil"/>
              <w:left w:val="nil"/>
              <w:bottom w:val="nil"/>
              <w:right w:val="nil"/>
            </w:tcBorders>
            <w:shd w:val="clear" w:color="auto" w:fill="auto"/>
            <w:noWrap/>
            <w:vAlign w:val="bottom"/>
          </w:tcPr>
          <w:p w14:paraId="1CD4BAE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10 879</w:t>
            </w:r>
          </w:p>
        </w:tc>
        <w:tc>
          <w:tcPr>
            <w:tcW w:w="1134" w:type="dxa"/>
            <w:gridSpan w:val="3"/>
            <w:tcBorders>
              <w:top w:val="nil"/>
              <w:left w:val="nil"/>
              <w:bottom w:val="nil"/>
              <w:right w:val="nil"/>
            </w:tcBorders>
            <w:shd w:val="clear" w:color="auto" w:fill="auto"/>
            <w:vAlign w:val="bottom"/>
          </w:tcPr>
          <w:p w14:paraId="281366B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29 658</w:t>
            </w:r>
          </w:p>
        </w:tc>
      </w:tr>
      <w:tr w:rsidR="00865B3C" w:rsidRPr="00865B3C" w14:paraId="3B9245DD" w14:textId="77777777" w:rsidTr="00865B3C">
        <w:trPr>
          <w:trHeight w:val="20"/>
        </w:trPr>
        <w:tc>
          <w:tcPr>
            <w:tcW w:w="5671" w:type="dxa"/>
            <w:tcBorders>
              <w:top w:val="nil"/>
              <w:left w:val="nil"/>
              <w:right w:val="nil"/>
            </w:tcBorders>
            <w:shd w:val="clear" w:color="auto" w:fill="FFFFFF"/>
            <w:noWrap/>
            <w:vAlign w:val="bottom"/>
          </w:tcPr>
          <w:p w14:paraId="0010C283" w14:textId="77777777" w:rsidR="00865B3C" w:rsidRPr="00865B3C" w:rsidRDefault="00865B3C" w:rsidP="00856149">
            <w:pPr>
              <w:spacing w:after="0" w:line="276" w:lineRule="auto"/>
              <w:jc w:val="both"/>
              <w:rPr>
                <w:rFonts w:eastAsia="Times New Roman" w:cs="Times New Roman"/>
                <w:color w:val="000000"/>
                <w:sz w:val="20"/>
                <w:szCs w:val="20"/>
              </w:rPr>
            </w:pPr>
            <w:r w:rsidRPr="00865B3C">
              <w:rPr>
                <w:rFonts w:eastAsia="Times New Roman" w:cs="Times New Roman"/>
                <w:color w:val="000000"/>
                <w:sz w:val="20"/>
                <w:szCs w:val="20"/>
              </w:rPr>
              <w:t>Pohledávky za bankami</w:t>
            </w:r>
          </w:p>
        </w:tc>
        <w:tc>
          <w:tcPr>
            <w:tcW w:w="992" w:type="dxa"/>
            <w:tcBorders>
              <w:top w:val="nil"/>
              <w:left w:val="nil"/>
              <w:bottom w:val="nil"/>
              <w:right w:val="nil"/>
            </w:tcBorders>
            <w:shd w:val="clear" w:color="000000" w:fill="FFFFFF"/>
            <w:noWrap/>
            <w:vAlign w:val="bottom"/>
          </w:tcPr>
          <w:p w14:paraId="1E02C806"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103 588</w:t>
            </w:r>
          </w:p>
        </w:tc>
        <w:tc>
          <w:tcPr>
            <w:tcW w:w="992" w:type="dxa"/>
            <w:tcBorders>
              <w:top w:val="nil"/>
              <w:left w:val="nil"/>
              <w:bottom w:val="nil"/>
              <w:right w:val="nil"/>
            </w:tcBorders>
            <w:shd w:val="clear" w:color="000000" w:fill="FFFFFF"/>
            <w:noWrap/>
            <w:vAlign w:val="bottom"/>
          </w:tcPr>
          <w:p w14:paraId="6BC05D0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992" w:type="dxa"/>
            <w:tcBorders>
              <w:top w:val="nil"/>
              <w:left w:val="nil"/>
              <w:right w:val="nil"/>
            </w:tcBorders>
            <w:shd w:val="clear" w:color="auto" w:fill="auto"/>
            <w:noWrap/>
            <w:vAlign w:val="bottom"/>
          </w:tcPr>
          <w:p w14:paraId="4DBCDA2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1134" w:type="dxa"/>
            <w:gridSpan w:val="3"/>
            <w:tcBorders>
              <w:top w:val="nil"/>
              <w:left w:val="nil"/>
              <w:bottom w:val="nil"/>
              <w:right w:val="nil"/>
            </w:tcBorders>
            <w:shd w:val="clear" w:color="auto" w:fill="auto"/>
            <w:vAlign w:val="bottom"/>
          </w:tcPr>
          <w:p w14:paraId="6109446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r>
      <w:tr w:rsidR="00865B3C" w:rsidRPr="00865B3C" w14:paraId="2E4859C4" w14:textId="77777777" w:rsidTr="00865B3C">
        <w:trPr>
          <w:trHeight w:val="20"/>
        </w:trPr>
        <w:tc>
          <w:tcPr>
            <w:tcW w:w="5671" w:type="dxa"/>
            <w:tcBorders>
              <w:top w:val="nil"/>
              <w:left w:val="nil"/>
              <w:right w:val="nil"/>
            </w:tcBorders>
            <w:shd w:val="clear" w:color="auto" w:fill="FFFFFF"/>
            <w:noWrap/>
            <w:vAlign w:val="bottom"/>
          </w:tcPr>
          <w:p w14:paraId="758F0154" w14:textId="77777777" w:rsidR="00865B3C" w:rsidRPr="00865B3C" w:rsidRDefault="00865B3C" w:rsidP="00856149">
            <w:pPr>
              <w:spacing w:after="0" w:line="276" w:lineRule="auto"/>
              <w:jc w:val="both"/>
              <w:rPr>
                <w:rFonts w:eastAsia="Times New Roman" w:cs="Times New Roman"/>
                <w:color w:val="000000"/>
                <w:sz w:val="20"/>
                <w:szCs w:val="20"/>
              </w:rPr>
            </w:pPr>
            <w:r w:rsidRPr="00865B3C">
              <w:rPr>
                <w:rFonts w:eastAsia="Times New Roman" w:cs="Times New Roman"/>
                <w:color w:val="000000"/>
                <w:sz w:val="20"/>
                <w:szCs w:val="20"/>
              </w:rPr>
              <w:t>Opravné položky k úvěrům a pohledávkám za bankami</w:t>
            </w:r>
          </w:p>
        </w:tc>
        <w:tc>
          <w:tcPr>
            <w:tcW w:w="992" w:type="dxa"/>
            <w:tcBorders>
              <w:top w:val="nil"/>
              <w:left w:val="nil"/>
              <w:bottom w:val="nil"/>
              <w:right w:val="nil"/>
            </w:tcBorders>
            <w:shd w:val="clear" w:color="000000" w:fill="FFFFFF"/>
            <w:noWrap/>
            <w:vAlign w:val="bottom"/>
          </w:tcPr>
          <w:p w14:paraId="0A32EFC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(5)</w:t>
            </w:r>
          </w:p>
        </w:tc>
        <w:tc>
          <w:tcPr>
            <w:tcW w:w="992" w:type="dxa"/>
            <w:tcBorders>
              <w:top w:val="nil"/>
              <w:left w:val="nil"/>
              <w:bottom w:val="nil"/>
              <w:right w:val="nil"/>
            </w:tcBorders>
            <w:shd w:val="clear" w:color="000000" w:fill="FFFFFF"/>
            <w:noWrap/>
            <w:vAlign w:val="bottom"/>
          </w:tcPr>
          <w:p w14:paraId="5F24528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992" w:type="dxa"/>
            <w:tcBorders>
              <w:top w:val="nil"/>
              <w:left w:val="nil"/>
              <w:right w:val="nil"/>
            </w:tcBorders>
            <w:shd w:val="clear" w:color="auto" w:fill="auto"/>
            <w:noWrap/>
            <w:vAlign w:val="bottom"/>
          </w:tcPr>
          <w:p w14:paraId="0F7E93E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c>
          <w:tcPr>
            <w:tcW w:w="1134" w:type="dxa"/>
            <w:gridSpan w:val="3"/>
            <w:tcBorders>
              <w:top w:val="nil"/>
              <w:left w:val="nil"/>
              <w:bottom w:val="nil"/>
              <w:right w:val="nil"/>
            </w:tcBorders>
            <w:shd w:val="clear" w:color="auto" w:fill="auto"/>
            <w:vAlign w:val="bottom"/>
          </w:tcPr>
          <w:p w14:paraId="05FBF73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n/a</w:t>
            </w:r>
          </w:p>
        </w:tc>
      </w:tr>
      <w:tr w:rsidR="00865B3C" w:rsidRPr="00865B3C" w14:paraId="503714EE" w14:textId="77777777" w:rsidTr="00865B3C">
        <w:trPr>
          <w:trHeight w:val="20"/>
        </w:trPr>
        <w:tc>
          <w:tcPr>
            <w:tcW w:w="5671" w:type="dxa"/>
            <w:tcBorders>
              <w:top w:val="nil"/>
              <w:left w:val="nil"/>
              <w:right w:val="nil"/>
            </w:tcBorders>
            <w:shd w:val="clear" w:color="auto" w:fill="FFFFFF"/>
            <w:noWrap/>
            <w:vAlign w:val="bottom"/>
          </w:tcPr>
          <w:p w14:paraId="28A88B0C" w14:textId="77777777" w:rsidR="00865B3C" w:rsidRPr="00865B3C" w:rsidRDefault="00865B3C" w:rsidP="00856149">
            <w:pPr>
              <w:spacing w:after="0" w:line="276" w:lineRule="auto"/>
              <w:jc w:val="both"/>
              <w:rPr>
                <w:rFonts w:eastAsia="Times New Roman" w:cs="Times New Roman"/>
                <w:color w:val="000000"/>
                <w:sz w:val="20"/>
                <w:szCs w:val="20"/>
              </w:rPr>
            </w:pPr>
            <w:r w:rsidRPr="00865B3C">
              <w:rPr>
                <w:rFonts w:eastAsia="Times New Roman" w:cs="Times New Roman"/>
                <w:color w:val="000000"/>
                <w:sz w:val="20"/>
                <w:szCs w:val="20"/>
              </w:rPr>
              <w:t>Úvěry a pohledávky za klienty</w:t>
            </w:r>
          </w:p>
        </w:tc>
        <w:tc>
          <w:tcPr>
            <w:tcW w:w="992" w:type="dxa"/>
            <w:tcBorders>
              <w:top w:val="nil"/>
              <w:left w:val="nil"/>
              <w:bottom w:val="nil"/>
              <w:right w:val="nil"/>
            </w:tcBorders>
            <w:shd w:val="clear" w:color="000000" w:fill="FFFFFF"/>
            <w:noWrap/>
            <w:vAlign w:val="bottom"/>
          </w:tcPr>
          <w:p w14:paraId="64EB12D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219 913</w:t>
            </w:r>
          </w:p>
        </w:tc>
        <w:tc>
          <w:tcPr>
            <w:tcW w:w="992" w:type="dxa"/>
            <w:tcBorders>
              <w:top w:val="nil"/>
              <w:left w:val="nil"/>
              <w:bottom w:val="nil"/>
              <w:right w:val="nil"/>
            </w:tcBorders>
            <w:shd w:val="clear" w:color="000000" w:fill="FFFFFF"/>
            <w:noWrap/>
            <w:vAlign w:val="bottom"/>
          </w:tcPr>
          <w:p w14:paraId="293EA6E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992" w:type="dxa"/>
            <w:tcBorders>
              <w:top w:val="nil"/>
              <w:left w:val="nil"/>
              <w:right w:val="nil"/>
            </w:tcBorders>
            <w:shd w:val="clear" w:color="auto" w:fill="auto"/>
            <w:noWrap/>
            <w:vAlign w:val="bottom"/>
          </w:tcPr>
          <w:p w14:paraId="639511B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1134" w:type="dxa"/>
            <w:gridSpan w:val="3"/>
            <w:tcBorders>
              <w:top w:val="nil"/>
              <w:left w:val="nil"/>
              <w:bottom w:val="nil"/>
              <w:right w:val="nil"/>
            </w:tcBorders>
            <w:shd w:val="clear" w:color="auto" w:fill="auto"/>
            <w:vAlign w:val="bottom"/>
          </w:tcPr>
          <w:p w14:paraId="68D50BE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r>
      <w:tr w:rsidR="00865B3C" w:rsidRPr="00865B3C" w14:paraId="7C88C73F" w14:textId="77777777" w:rsidTr="00865B3C">
        <w:trPr>
          <w:trHeight w:val="20"/>
        </w:trPr>
        <w:tc>
          <w:tcPr>
            <w:tcW w:w="5671" w:type="dxa"/>
            <w:tcBorders>
              <w:top w:val="nil"/>
              <w:left w:val="nil"/>
              <w:right w:val="nil"/>
            </w:tcBorders>
            <w:shd w:val="clear" w:color="auto" w:fill="FFFFFF"/>
            <w:noWrap/>
            <w:vAlign w:val="bottom"/>
          </w:tcPr>
          <w:p w14:paraId="6C2AD124" w14:textId="77777777" w:rsidR="00865B3C" w:rsidRPr="00865B3C" w:rsidRDefault="00865B3C" w:rsidP="00856149">
            <w:pPr>
              <w:spacing w:after="0" w:line="276" w:lineRule="auto"/>
              <w:jc w:val="both"/>
              <w:rPr>
                <w:rFonts w:eastAsia="Times New Roman" w:cs="Times New Roman"/>
                <w:color w:val="000000"/>
                <w:sz w:val="20"/>
                <w:szCs w:val="20"/>
              </w:rPr>
            </w:pPr>
            <w:r w:rsidRPr="00865B3C">
              <w:rPr>
                <w:rFonts w:eastAsia="Times New Roman" w:cs="Times New Roman"/>
                <w:color w:val="000000"/>
                <w:sz w:val="20"/>
                <w:szCs w:val="20"/>
              </w:rPr>
              <w:t>Opravné položky k úvěrům a pohledávkám za klienty</w:t>
            </w:r>
          </w:p>
        </w:tc>
        <w:tc>
          <w:tcPr>
            <w:tcW w:w="992" w:type="dxa"/>
            <w:tcBorders>
              <w:top w:val="nil"/>
              <w:left w:val="nil"/>
              <w:bottom w:val="nil"/>
              <w:right w:val="nil"/>
            </w:tcBorders>
            <w:shd w:val="clear" w:color="000000" w:fill="FFFFFF"/>
            <w:noWrap/>
            <w:vAlign w:val="bottom"/>
          </w:tcPr>
          <w:p w14:paraId="41A6346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(4 969)</w:t>
            </w:r>
          </w:p>
        </w:tc>
        <w:tc>
          <w:tcPr>
            <w:tcW w:w="992" w:type="dxa"/>
            <w:tcBorders>
              <w:top w:val="nil"/>
              <w:left w:val="nil"/>
              <w:bottom w:val="nil"/>
              <w:right w:val="nil"/>
            </w:tcBorders>
            <w:shd w:val="clear" w:color="000000" w:fill="FFFFFF"/>
            <w:noWrap/>
            <w:vAlign w:val="bottom"/>
          </w:tcPr>
          <w:p w14:paraId="2034796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992" w:type="dxa"/>
            <w:tcBorders>
              <w:top w:val="nil"/>
              <w:left w:val="nil"/>
              <w:right w:val="nil"/>
            </w:tcBorders>
            <w:shd w:val="clear" w:color="auto" w:fill="auto"/>
            <w:noWrap/>
            <w:vAlign w:val="bottom"/>
          </w:tcPr>
          <w:p w14:paraId="1823450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c>
          <w:tcPr>
            <w:tcW w:w="1134" w:type="dxa"/>
            <w:gridSpan w:val="3"/>
            <w:tcBorders>
              <w:top w:val="nil"/>
              <w:left w:val="nil"/>
              <w:bottom w:val="nil"/>
              <w:right w:val="nil"/>
            </w:tcBorders>
            <w:shd w:val="clear" w:color="auto" w:fill="auto"/>
            <w:vAlign w:val="bottom"/>
          </w:tcPr>
          <w:p w14:paraId="1C1C161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4"/>
                <w:szCs w:val="20"/>
              </w:rPr>
            </w:pPr>
            <w:r w:rsidRPr="00865B3C">
              <w:rPr>
                <w:rFonts w:eastAsia="Times New Roman" w:cs="Times New Roman"/>
                <w:color w:val="000000"/>
                <w:sz w:val="20"/>
                <w:szCs w:val="20"/>
              </w:rPr>
              <w:t>n/a</w:t>
            </w:r>
          </w:p>
        </w:tc>
      </w:tr>
      <w:tr w:rsidR="00865B3C" w:rsidRPr="00865B3C" w14:paraId="6DC0F895" w14:textId="77777777" w:rsidTr="00865B3C">
        <w:trPr>
          <w:trHeight w:val="20"/>
        </w:trPr>
        <w:tc>
          <w:tcPr>
            <w:tcW w:w="5671" w:type="dxa"/>
            <w:tcBorders>
              <w:top w:val="nil"/>
              <w:left w:val="nil"/>
              <w:right w:val="nil"/>
            </w:tcBorders>
            <w:shd w:val="clear" w:color="auto" w:fill="FFFFFF"/>
            <w:noWrap/>
            <w:vAlign w:val="bottom"/>
          </w:tcPr>
          <w:p w14:paraId="2650B9FE"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Změna reálné hodnoty portfoliově přeceňovaných položek (pohledávky za klienty a dluhové cenné papíry)</w:t>
            </w:r>
          </w:p>
        </w:tc>
        <w:tc>
          <w:tcPr>
            <w:tcW w:w="992" w:type="dxa"/>
            <w:tcBorders>
              <w:top w:val="nil"/>
              <w:left w:val="nil"/>
              <w:bottom w:val="nil"/>
              <w:right w:val="nil"/>
            </w:tcBorders>
            <w:shd w:val="clear" w:color="000000" w:fill="FFFFFF"/>
            <w:noWrap/>
            <w:vAlign w:val="bottom"/>
          </w:tcPr>
          <w:p w14:paraId="01FC13B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(1 260)</w:t>
            </w:r>
          </w:p>
        </w:tc>
        <w:tc>
          <w:tcPr>
            <w:tcW w:w="992" w:type="dxa"/>
            <w:tcBorders>
              <w:top w:val="nil"/>
              <w:left w:val="nil"/>
              <w:bottom w:val="nil"/>
              <w:right w:val="nil"/>
            </w:tcBorders>
            <w:shd w:val="clear" w:color="000000" w:fill="FFFFFF"/>
            <w:noWrap/>
            <w:vAlign w:val="bottom"/>
          </w:tcPr>
          <w:p w14:paraId="3E8D80D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(1 145)</w:t>
            </w:r>
          </w:p>
        </w:tc>
        <w:tc>
          <w:tcPr>
            <w:tcW w:w="992" w:type="dxa"/>
            <w:tcBorders>
              <w:top w:val="nil"/>
              <w:left w:val="nil"/>
              <w:bottom w:val="nil"/>
              <w:right w:val="nil"/>
            </w:tcBorders>
            <w:shd w:val="clear" w:color="000000" w:fill="FFFFFF"/>
            <w:noWrap/>
            <w:vAlign w:val="bottom"/>
          </w:tcPr>
          <w:p w14:paraId="5595844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(1 153)</w:t>
            </w:r>
          </w:p>
        </w:tc>
        <w:tc>
          <w:tcPr>
            <w:tcW w:w="1134" w:type="dxa"/>
            <w:gridSpan w:val="3"/>
            <w:tcBorders>
              <w:top w:val="nil"/>
              <w:left w:val="nil"/>
              <w:bottom w:val="nil"/>
              <w:right w:val="nil"/>
            </w:tcBorders>
            <w:shd w:val="clear" w:color="auto" w:fill="auto"/>
            <w:vAlign w:val="bottom"/>
          </w:tcPr>
          <w:p w14:paraId="63FFF75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3 003</w:t>
            </w:r>
          </w:p>
        </w:tc>
      </w:tr>
      <w:tr w:rsidR="00865B3C" w:rsidRPr="00865B3C" w14:paraId="76BCF28E" w14:textId="77777777" w:rsidTr="00865B3C">
        <w:trPr>
          <w:trHeight w:val="197"/>
        </w:trPr>
        <w:tc>
          <w:tcPr>
            <w:tcW w:w="5671" w:type="dxa"/>
            <w:tcBorders>
              <w:top w:val="nil"/>
              <w:left w:val="nil"/>
              <w:right w:val="nil"/>
            </w:tcBorders>
            <w:shd w:val="clear" w:color="auto" w:fill="FFFFFF"/>
            <w:noWrap/>
            <w:vAlign w:val="center"/>
          </w:tcPr>
          <w:p w14:paraId="1F0D5182"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Zajišťovací deriváty s kladnou reálnou hodnotou</w:t>
            </w:r>
          </w:p>
        </w:tc>
        <w:tc>
          <w:tcPr>
            <w:tcW w:w="992" w:type="dxa"/>
            <w:tcBorders>
              <w:top w:val="nil"/>
              <w:left w:val="nil"/>
              <w:bottom w:val="nil"/>
              <w:right w:val="nil"/>
            </w:tcBorders>
            <w:shd w:val="clear" w:color="000000" w:fill="FFFFFF"/>
            <w:noWrap/>
            <w:vAlign w:val="bottom"/>
          </w:tcPr>
          <w:p w14:paraId="5CFCB8E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2 281</w:t>
            </w:r>
          </w:p>
        </w:tc>
        <w:tc>
          <w:tcPr>
            <w:tcW w:w="992" w:type="dxa"/>
            <w:tcBorders>
              <w:top w:val="nil"/>
              <w:left w:val="nil"/>
              <w:bottom w:val="nil"/>
              <w:right w:val="nil"/>
            </w:tcBorders>
            <w:shd w:val="clear" w:color="000000" w:fill="FFFFFF"/>
            <w:noWrap/>
            <w:vAlign w:val="bottom"/>
          </w:tcPr>
          <w:p w14:paraId="664F27A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2 469</w:t>
            </w:r>
          </w:p>
        </w:tc>
        <w:tc>
          <w:tcPr>
            <w:tcW w:w="992" w:type="dxa"/>
            <w:tcBorders>
              <w:top w:val="nil"/>
              <w:left w:val="nil"/>
              <w:bottom w:val="nil"/>
              <w:right w:val="nil"/>
            </w:tcBorders>
            <w:shd w:val="clear" w:color="000000" w:fill="FFFFFF"/>
            <w:noWrap/>
            <w:vAlign w:val="bottom"/>
          </w:tcPr>
          <w:p w14:paraId="05B0029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2 546</w:t>
            </w:r>
          </w:p>
        </w:tc>
        <w:tc>
          <w:tcPr>
            <w:tcW w:w="1134" w:type="dxa"/>
            <w:gridSpan w:val="3"/>
            <w:tcBorders>
              <w:top w:val="nil"/>
              <w:left w:val="nil"/>
              <w:bottom w:val="nil"/>
              <w:right w:val="nil"/>
            </w:tcBorders>
            <w:shd w:val="clear" w:color="auto" w:fill="auto"/>
            <w:vAlign w:val="bottom"/>
          </w:tcPr>
          <w:p w14:paraId="4C5F153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2 616</w:t>
            </w:r>
          </w:p>
        </w:tc>
      </w:tr>
      <w:tr w:rsidR="00865B3C" w:rsidRPr="00865B3C" w14:paraId="1F277BEF" w14:textId="77777777" w:rsidTr="00865B3C">
        <w:trPr>
          <w:trHeight w:val="197"/>
        </w:trPr>
        <w:tc>
          <w:tcPr>
            <w:tcW w:w="5671" w:type="dxa"/>
            <w:tcBorders>
              <w:top w:val="nil"/>
              <w:left w:val="nil"/>
              <w:right w:val="nil"/>
            </w:tcBorders>
            <w:shd w:val="clear" w:color="auto" w:fill="FFFFFF"/>
            <w:noWrap/>
            <w:vAlign w:val="center"/>
          </w:tcPr>
          <w:p w14:paraId="49B23828"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Ostatní aktiva</w:t>
            </w:r>
          </w:p>
        </w:tc>
        <w:tc>
          <w:tcPr>
            <w:tcW w:w="992" w:type="dxa"/>
            <w:tcBorders>
              <w:top w:val="nil"/>
              <w:left w:val="nil"/>
              <w:bottom w:val="nil"/>
              <w:right w:val="nil"/>
            </w:tcBorders>
            <w:shd w:val="clear" w:color="auto" w:fill="auto"/>
            <w:noWrap/>
            <w:vAlign w:val="bottom"/>
          </w:tcPr>
          <w:p w14:paraId="5521391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1 093</w:t>
            </w:r>
          </w:p>
        </w:tc>
        <w:tc>
          <w:tcPr>
            <w:tcW w:w="992" w:type="dxa"/>
            <w:tcBorders>
              <w:top w:val="nil"/>
              <w:left w:val="nil"/>
              <w:bottom w:val="nil"/>
              <w:right w:val="nil"/>
            </w:tcBorders>
            <w:shd w:val="clear" w:color="auto" w:fill="auto"/>
            <w:noWrap/>
            <w:vAlign w:val="bottom"/>
          </w:tcPr>
          <w:p w14:paraId="7696EF2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1 137</w:t>
            </w:r>
          </w:p>
        </w:tc>
        <w:tc>
          <w:tcPr>
            <w:tcW w:w="992" w:type="dxa"/>
            <w:tcBorders>
              <w:top w:val="nil"/>
              <w:left w:val="nil"/>
              <w:bottom w:val="nil"/>
              <w:right w:val="nil"/>
            </w:tcBorders>
            <w:shd w:val="clear" w:color="auto" w:fill="auto"/>
            <w:noWrap/>
            <w:vAlign w:val="bottom"/>
          </w:tcPr>
          <w:p w14:paraId="1762A5C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1 167</w:t>
            </w:r>
          </w:p>
        </w:tc>
        <w:tc>
          <w:tcPr>
            <w:tcW w:w="1134" w:type="dxa"/>
            <w:gridSpan w:val="3"/>
            <w:tcBorders>
              <w:top w:val="nil"/>
              <w:left w:val="nil"/>
              <w:bottom w:val="nil"/>
              <w:right w:val="nil"/>
            </w:tcBorders>
            <w:shd w:val="clear" w:color="auto" w:fill="auto"/>
            <w:vAlign w:val="bottom"/>
          </w:tcPr>
          <w:p w14:paraId="3E7EBD0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2 349</w:t>
            </w:r>
          </w:p>
        </w:tc>
      </w:tr>
      <w:tr w:rsidR="00865B3C" w:rsidRPr="00865B3C" w14:paraId="77E6506F" w14:textId="77777777" w:rsidTr="00865B3C">
        <w:trPr>
          <w:trHeight w:val="20"/>
        </w:trPr>
        <w:tc>
          <w:tcPr>
            <w:tcW w:w="5671" w:type="dxa"/>
            <w:tcBorders>
              <w:top w:val="nil"/>
              <w:left w:val="nil"/>
              <w:right w:val="nil"/>
            </w:tcBorders>
            <w:shd w:val="clear" w:color="auto" w:fill="FFFFFF"/>
            <w:noWrap/>
            <w:vAlign w:val="center"/>
          </w:tcPr>
          <w:p w14:paraId="48CA3BFE"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Majetkové účasti v dceřiných společnostech</w:t>
            </w:r>
          </w:p>
        </w:tc>
        <w:tc>
          <w:tcPr>
            <w:tcW w:w="992" w:type="dxa"/>
            <w:tcBorders>
              <w:top w:val="nil"/>
              <w:left w:val="nil"/>
              <w:bottom w:val="nil"/>
              <w:right w:val="nil"/>
            </w:tcBorders>
            <w:shd w:val="clear" w:color="auto" w:fill="auto"/>
            <w:noWrap/>
            <w:vAlign w:val="bottom"/>
          </w:tcPr>
          <w:p w14:paraId="116C53A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1 713</w:t>
            </w:r>
          </w:p>
        </w:tc>
        <w:tc>
          <w:tcPr>
            <w:tcW w:w="992" w:type="dxa"/>
            <w:tcBorders>
              <w:top w:val="nil"/>
              <w:left w:val="nil"/>
              <w:bottom w:val="nil"/>
              <w:right w:val="nil"/>
            </w:tcBorders>
            <w:shd w:val="clear" w:color="auto" w:fill="auto"/>
            <w:noWrap/>
            <w:vAlign w:val="bottom"/>
          </w:tcPr>
          <w:p w14:paraId="03D1A8A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1 713</w:t>
            </w:r>
          </w:p>
        </w:tc>
        <w:tc>
          <w:tcPr>
            <w:tcW w:w="992" w:type="dxa"/>
            <w:tcBorders>
              <w:top w:val="nil"/>
              <w:left w:val="nil"/>
              <w:bottom w:val="nil"/>
              <w:right w:val="nil"/>
            </w:tcBorders>
            <w:shd w:val="clear" w:color="auto" w:fill="auto"/>
            <w:noWrap/>
            <w:vAlign w:val="bottom"/>
          </w:tcPr>
          <w:p w14:paraId="1D3FBBA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1 496</w:t>
            </w:r>
          </w:p>
        </w:tc>
        <w:tc>
          <w:tcPr>
            <w:tcW w:w="1134" w:type="dxa"/>
            <w:gridSpan w:val="3"/>
            <w:tcBorders>
              <w:top w:val="nil"/>
              <w:left w:val="nil"/>
              <w:bottom w:val="nil"/>
              <w:right w:val="nil"/>
            </w:tcBorders>
            <w:shd w:val="clear" w:color="auto" w:fill="auto"/>
            <w:vAlign w:val="bottom"/>
          </w:tcPr>
          <w:p w14:paraId="310DC25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1 497</w:t>
            </w:r>
          </w:p>
        </w:tc>
      </w:tr>
      <w:tr w:rsidR="00865B3C" w:rsidRPr="00865B3C" w14:paraId="57DED4A7" w14:textId="77777777" w:rsidTr="00865B3C">
        <w:trPr>
          <w:trHeight w:val="20"/>
        </w:trPr>
        <w:tc>
          <w:tcPr>
            <w:tcW w:w="5671" w:type="dxa"/>
            <w:tcBorders>
              <w:left w:val="nil"/>
              <w:right w:val="nil"/>
            </w:tcBorders>
            <w:shd w:val="clear" w:color="auto" w:fill="FFFFFF"/>
            <w:noWrap/>
            <w:vAlign w:val="center"/>
          </w:tcPr>
          <w:p w14:paraId="59A8ACAE"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Dlouhodobý nehmotný majetek</w:t>
            </w:r>
          </w:p>
        </w:tc>
        <w:tc>
          <w:tcPr>
            <w:tcW w:w="992" w:type="dxa"/>
            <w:tcBorders>
              <w:top w:val="nil"/>
              <w:left w:val="nil"/>
              <w:bottom w:val="nil"/>
              <w:right w:val="nil"/>
            </w:tcBorders>
            <w:shd w:val="clear" w:color="auto" w:fill="auto"/>
            <w:noWrap/>
            <w:vAlign w:val="bottom"/>
          </w:tcPr>
          <w:p w14:paraId="36F580E1"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2 347</w:t>
            </w:r>
          </w:p>
        </w:tc>
        <w:tc>
          <w:tcPr>
            <w:tcW w:w="992" w:type="dxa"/>
            <w:tcBorders>
              <w:top w:val="nil"/>
              <w:left w:val="nil"/>
              <w:bottom w:val="nil"/>
              <w:right w:val="nil"/>
            </w:tcBorders>
            <w:shd w:val="clear" w:color="auto" w:fill="auto"/>
            <w:noWrap/>
            <w:vAlign w:val="bottom"/>
          </w:tcPr>
          <w:p w14:paraId="035E004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2 691</w:t>
            </w:r>
          </w:p>
        </w:tc>
        <w:tc>
          <w:tcPr>
            <w:tcW w:w="992" w:type="dxa"/>
            <w:tcBorders>
              <w:top w:val="nil"/>
              <w:left w:val="nil"/>
              <w:bottom w:val="nil"/>
              <w:right w:val="nil"/>
            </w:tcBorders>
            <w:shd w:val="clear" w:color="auto" w:fill="auto"/>
            <w:noWrap/>
            <w:vAlign w:val="bottom"/>
          </w:tcPr>
          <w:p w14:paraId="483D2A5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2 718</w:t>
            </w:r>
          </w:p>
        </w:tc>
        <w:tc>
          <w:tcPr>
            <w:tcW w:w="1134" w:type="dxa"/>
            <w:gridSpan w:val="3"/>
            <w:tcBorders>
              <w:top w:val="nil"/>
              <w:left w:val="nil"/>
              <w:bottom w:val="nil"/>
              <w:right w:val="nil"/>
            </w:tcBorders>
            <w:shd w:val="clear" w:color="auto" w:fill="auto"/>
            <w:vAlign w:val="bottom"/>
          </w:tcPr>
          <w:p w14:paraId="6D8D115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2 839</w:t>
            </w:r>
          </w:p>
        </w:tc>
      </w:tr>
      <w:tr w:rsidR="00865B3C" w:rsidRPr="00865B3C" w14:paraId="7EE98B19" w14:textId="77777777" w:rsidTr="00865B3C">
        <w:trPr>
          <w:trHeight w:val="20"/>
        </w:trPr>
        <w:tc>
          <w:tcPr>
            <w:tcW w:w="5671" w:type="dxa"/>
            <w:tcBorders>
              <w:top w:val="nil"/>
              <w:left w:val="nil"/>
              <w:right w:val="nil"/>
            </w:tcBorders>
            <w:shd w:val="clear" w:color="auto" w:fill="auto"/>
            <w:noWrap/>
            <w:vAlign w:val="center"/>
          </w:tcPr>
          <w:p w14:paraId="1A90DE5E"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Dlouhodobý hmotný majetek</w:t>
            </w:r>
          </w:p>
        </w:tc>
        <w:tc>
          <w:tcPr>
            <w:tcW w:w="992" w:type="dxa"/>
            <w:tcBorders>
              <w:top w:val="nil"/>
              <w:left w:val="nil"/>
              <w:bottom w:val="nil"/>
              <w:right w:val="nil"/>
            </w:tcBorders>
            <w:shd w:val="clear" w:color="auto" w:fill="auto"/>
            <w:noWrap/>
            <w:vAlign w:val="bottom"/>
          </w:tcPr>
          <w:p w14:paraId="42AF6B8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649</w:t>
            </w:r>
          </w:p>
        </w:tc>
        <w:tc>
          <w:tcPr>
            <w:tcW w:w="992" w:type="dxa"/>
            <w:tcBorders>
              <w:top w:val="nil"/>
              <w:left w:val="nil"/>
              <w:bottom w:val="nil"/>
              <w:right w:val="nil"/>
            </w:tcBorders>
            <w:shd w:val="clear" w:color="auto" w:fill="auto"/>
            <w:noWrap/>
            <w:vAlign w:val="bottom"/>
          </w:tcPr>
          <w:p w14:paraId="5EBC05E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787</w:t>
            </w:r>
          </w:p>
        </w:tc>
        <w:tc>
          <w:tcPr>
            <w:tcW w:w="992" w:type="dxa"/>
            <w:tcBorders>
              <w:top w:val="nil"/>
              <w:left w:val="nil"/>
              <w:bottom w:val="nil"/>
              <w:right w:val="nil"/>
            </w:tcBorders>
            <w:shd w:val="clear" w:color="auto" w:fill="auto"/>
            <w:noWrap/>
            <w:vAlign w:val="bottom"/>
          </w:tcPr>
          <w:p w14:paraId="6E3B918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2 836</w:t>
            </w:r>
          </w:p>
        </w:tc>
        <w:tc>
          <w:tcPr>
            <w:tcW w:w="1134" w:type="dxa"/>
            <w:gridSpan w:val="3"/>
            <w:tcBorders>
              <w:top w:val="nil"/>
              <w:left w:val="nil"/>
              <w:bottom w:val="nil"/>
              <w:right w:val="nil"/>
            </w:tcBorders>
            <w:shd w:val="clear" w:color="auto" w:fill="auto"/>
            <w:vAlign w:val="bottom"/>
          </w:tcPr>
          <w:p w14:paraId="7E4A2E9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2 804</w:t>
            </w:r>
          </w:p>
        </w:tc>
      </w:tr>
      <w:tr w:rsidR="00865B3C" w:rsidRPr="00865B3C" w14:paraId="42A0AE8E" w14:textId="77777777" w:rsidTr="00865B3C">
        <w:trPr>
          <w:trHeight w:val="20"/>
        </w:trPr>
        <w:tc>
          <w:tcPr>
            <w:tcW w:w="5671" w:type="dxa"/>
            <w:tcBorders>
              <w:left w:val="nil"/>
              <w:bottom w:val="single" w:sz="4" w:space="0" w:color="auto"/>
              <w:right w:val="nil"/>
            </w:tcBorders>
            <w:shd w:val="clear" w:color="auto" w:fill="auto"/>
            <w:noWrap/>
            <w:vAlign w:val="center"/>
          </w:tcPr>
          <w:p w14:paraId="608A4C38"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b/>
                <w:bCs/>
                <w:sz w:val="20"/>
                <w:szCs w:val="20"/>
              </w:rPr>
            </w:pPr>
            <w:r w:rsidRPr="00865B3C">
              <w:rPr>
                <w:rFonts w:eastAsia="Times New Roman" w:cs="Times New Roman"/>
                <w:color w:val="000000"/>
                <w:sz w:val="20"/>
                <w:szCs w:val="20"/>
              </w:rPr>
              <w:t>Pohledávka ze splatné daně</w:t>
            </w:r>
          </w:p>
        </w:tc>
        <w:tc>
          <w:tcPr>
            <w:tcW w:w="992" w:type="dxa"/>
            <w:tcBorders>
              <w:top w:val="nil"/>
              <w:left w:val="nil"/>
              <w:bottom w:val="single" w:sz="4" w:space="0" w:color="auto"/>
              <w:right w:val="nil"/>
            </w:tcBorders>
            <w:shd w:val="clear" w:color="auto" w:fill="auto"/>
            <w:noWrap/>
            <w:vAlign w:val="bottom"/>
          </w:tcPr>
          <w:p w14:paraId="349AF03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w:t>
            </w:r>
          </w:p>
        </w:tc>
        <w:tc>
          <w:tcPr>
            <w:tcW w:w="992" w:type="dxa"/>
            <w:tcBorders>
              <w:top w:val="nil"/>
              <w:left w:val="nil"/>
              <w:bottom w:val="nil"/>
              <w:right w:val="nil"/>
            </w:tcBorders>
            <w:shd w:val="clear" w:color="auto" w:fill="auto"/>
            <w:noWrap/>
            <w:vAlign w:val="bottom"/>
          </w:tcPr>
          <w:p w14:paraId="36FE28B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w:t>
            </w:r>
          </w:p>
        </w:tc>
        <w:tc>
          <w:tcPr>
            <w:tcW w:w="992" w:type="dxa"/>
            <w:tcBorders>
              <w:top w:val="nil"/>
              <w:left w:val="nil"/>
              <w:bottom w:val="nil"/>
              <w:right w:val="nil"/>
            </w:tcBorders>
            <w:shd w:val="clear" w:color="auto" w:fill="auto"/>
            <w:noWrap/>
            <w:vAlign w:val="bottom"/>
          </w:tcPr>
          <w:p w14:paraId="4F6D2AA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sz w:val="20"/>
                <w:szCs w:val="20"/>
              </w:rPr>
            </w:pPr>
            <w:r w:rsidRPr="00865B3C">
              <w:rPr>
                <w:rFonts w:eastAsia="Times New Roman" w:cs="Times New Roman"/>
                <w:sz w:val="20"/>
                <w:szCs w:val="20"/>
              </w:rPr>
              <w:t>-</w:t>
            </w:r>
          </w:p>
        </w:tc>
        <w:tc>
          <w:tcPr>
            <w:tcW w:w="1134" w:type="dxa"/>
            <w:gridSpan w:val="3"/>
            <w:tcBorders>
              <w:top w:val="nil"/>
              <w:left w:val="nil"/>
              <w:bottom w:val="single" w:sz="8" w:space="0" w:color="auto"/>
              <w:right w:val="nil"/>
            </w:tcBorders>
            <w:shd w:val="clear" w:color="auto" w:fill="auto"/>
            <w:vAlign w:val="bottom"/>
          </w:tcPr>
          <w:p w14:paraId="2A09522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243</w:t>
            </w:r>
          </w:p>
        </w:tc>
      </w:tr>
      <w:tr w:rsidR="00865B3C" w:rsidRPr="00865B3C" w14:paraId="17219CEC" w14:textId="77777777" w:rsidTr="00865B3C">
        <w:trPr>
          <w:trHeight w:val="20"/>
        </w:trPr>
        <w:tc>
          <w:tcPr>
            <w:tcW w:w="5671" w:type="dxa"/>
            <w:tcBorders>
              <w:top w:val="single" w:sz="4" w:space="0" w:color="auto"/>
              <w:left w:val="nil"/>
              <w:bottom w:val="single" w:sz="8" w:space="0" w:color="auto"/>
              <w:right w:val="nil"/>
            </w:tcBorders>
            <w:shd w:val="clear" w:color="auto" w:fill="FFFF99"/>
            <w:noWrap/>
            <w:vAlign w:val="center"/>
          </w:tcPr>
          <w:p w14:paraId="29554D03" w14:textId="77777777" w:rsidR="00865B3C" w:rsidRPr="00865B3C" w:rsidRDefault="00865B3C" w:rsidP="00856149">
            <w:pPr>
              <w:overflowPunct w:val="0"/>
              <w:autoSpaceDE w:val="0"/>
              <w:autoSpaceDN w:val="0"/>
              <w:adjustRightInd w:val="0"/>
              <w:spacing w:after="0" w:line="276" w:lineRule="auto"/>
              <w:ind w:left="-66" w:right="-70"/>
              <w:jc w:val="both"/>
              <w:textAlignment w:val="baseline"/>
              <w:rPr>
                <w:rFonts w:eastAsia="Times New Roman" w:cs="Times New Roman"/>
                <w:b/>
                <w:sz w:val="20"/>
                <w:szCs w:val="20"/>
              </w:rPr>
            </w:pPr>
            <w:r w:rsidRPr="00865B3C">
              <w:rPr>
                <w:rFonts w:eastAsia="Times New Roman" w:cs="Times New Roman"/>
                <w:b/>
                <w:bCs/>
                <w:sz w:val="20"/>
                <w:szCs w:val="20"/>
              </w:rPr>
              <w:t>AKTIVA CELKEM</w:t>
            </w:r>
          </w:p>
        </w:tc>
        <w:tc>
          <w:tcPr>
            <w:tcW w:w="992" w:type="dxa"/>
            <w:tcBorders>
              <w:top w:val="single" w:sz="4" w:space="0" w:color="auto"/>
              <w:left w:val="nil"/>
              <w:bottom w:val="single" w:sz="4" w:space="0" w:color="auto"/>
              <w:right w:val="nil"/>
            </w:tcBorders>
            <w:shd w:val="clear" w:color="auto" w:fill="FFFF99"/>
            <w:noWrap/>
            <w:vAlign w:val="bottom"/>
          </w:tcPr>
          <w:p w14:paraId="4878343F" w14:textId="77777777" w:rsidR="00865B3C" w:rsidRPr="00865B3C" w:rsidRDefault="00865B3C" w:rsidP="00AA77D8">
            <w:pPr>
              <w:widowControl w:val="0"/>
              <w:overflowPunct w:val="0"/>
              <w:autoSpaceDE w:val="0"/>
              <w:autoSpaceDN w:val="0"/>
              <w:adjustRightInd w:val="0"/>
              <w:spacing w:after="0" w:line="276" w:lineRule="auto"/>
              <w:jc w:val="right"/>
              <w:textAlignment w:val="baseline"/>
              <w:rPr>
                <w:rFonts w:eastAsia="Times New Roman" w:cs="Times New Roman"/>
                <w:b/>
                <w:bCs/>
                <w:sz w:val="20"/>
                <w:szCs w:val="20"/>
              </w:rPr>
            </w:pPr>
            <w:r w:rsidRPr="00865B3C">
              <w:rPr>
                <w:rFonts w:eastAsia="Times New Roman" w:cs="Times New Roman"/>
                <w:b/>
                <w:bCs/>
                <w:sz w:val="20"/>
                <w:szCs w:val="20"/>
              </w:rPr>
              <w:t>337 874</w:t>
            </w:r>
          </w:p>
        </w:tc>
        <w:tc>
          <w:tcPr>
            <w:tcW w:w="992" w:type="dxa"/>
            <w:tcBorders>
              <w:top w:val="single" w:sz="8" w:space="0" w:color="auto"/>
              <w:left w:val="nil"/>
              <w:bottom w:val="single" w:sz="8" w:space="0" w:color="auto"/>
              <w:right w:val="nil"/>
            </w:tcBorders>
            <w:shd w:val="clear" w:color="000000" w:fill="FFFF99"/>
            <w:noWrap/>
            <w:vAlign w:val="bottom"/>
          </w:tcPr>
          <w:p w14:paraId="46792BA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362 564</w:t>
            </w:r>
          </w:p>
        </w:tc>
        <w:tc>
          <w:tcPr>
            <w:tcW w:w="992" w:type="dxa"/>
            <w:tcBorders>
              <w:top w:val="single" w:sz="8" w:space="0" w:color="auto"/>
              <w:left w:val="nil"/>
              <w:bottom w:val="single" w:sz="8" w:space="0" w:color="auto"/>
              <w:right w:val="nil"/>
            </w:tcBorders>
            <w:shd w:val="clear" w:color="000000" w:fill="FFFF99"/>
            <w:noWrap/>
            <w:vAlign w:val="bottom"/>
          </w:tcPr>
          <w:p w14:paraId="318C8C8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370 715</w:t>
            </w:r>
          </w:p>
        </w:tc>
        <w:tc>
          <w:tcPr>
            <w:tcW w:w="1134" w:type="dxa"/>
            <w:gridSpan w:val="3"/>
            <w:tcBorders>
              <w:top w:val="single" w:sz="8" w:space="0" w:color="auto"/>
              <w:left w:val="nil"/>
              <w:bottom w:val="single" w:sz="4" w:space="0" w:color="auto"/>
              <w:right w:val="nil"/>
            </w:tcBorders>
            <w:shd w:val="clear" w:color="auto" w:fill="FFFF99"/>
            <w:vAlign w:val="bottom"/>
          </w:tcPr>
          <w:p w14:paraId="77F8996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414 140</w:t>
            </w:r>
          </w:p>
        </w:tc>
      </w:tr>
    </w:tbl>
    <w:p w14:paraId="354F38DD" w14:textId="77777777" w:rsidR="00865B3C" w:rsidRPr="00865B3C" w:rsidRDefault="00865B3C" w:rsidP="00856149">
      <w:pPr>
        <w:spacing w:line="276" w:lineRule="auto"/>
        <w:jc w:val="both"/>
        <w:rPr>
          <w:rFonts w:cs="Times New Roman"/>
        </w:rPr>
      </w:pPr>
    </w:p>
    <w:tbl>
      <w:tblPr>
        <w:tblW w:w="9781" w:type="dxa"/>
        <w:tblInd w:w="-142" w:type="dxa"/>
        <w:tblLayout w:type="fixed"/>
        <w:tblLook w:val="0000" w:firstRow="0" w:lastRow="0" w:firstColumn="0" w:lastColumn="0" w:noHBand="0" w:noVBand="0"/>
      </w:tblPr>
      <w:tblGrid>
        <w:gridCol w:w="5671"/>
        <w:gridCol w:w="992"/>
        <w:gridCol w:w="992"/>
        <w:gridCol w:w="992"/>
        <w:gridCol w:w="1134"/>
      </w:tblGrid>
      <w:tr w:rsidR="00865B3C" w:rsidRPr="00865B3C" w14:paraId="6AA1CEAE" w14:textId="77777777" w:rsidTr="00865B3C">
        <w:trPr>
          <w:trHeight w:val="20"/>
        </w:trPr>
        <w:tc>
          <w:tcPr>
            <w:tcW w:w="5671" w:type="dxa"/>
            <w:tcBorders>
              <w:top w:val="single" w:sz="12" w:space="0" w:color="auto"/>
              <w:left w:val="nil"/>
              <w:bottom w:val="single" w:sz="4" w:space="0" w:color="auto"/>
              <w:right w:val="nil"/>
            </w:tcBorders>
            <w:shd w:val="clear" w:color="auto" w:fill="FFFF00"/>
            <w:noWrap/>
            <w:vAlign w:val="center"/>
          </w:tcPr>
          <w:p w14:paraId="0C3BFECE" w14:textId="77777777" w:rsidR="00865B3C" w:rsidRPr="00865B3C" w:rsidRDefault="00865B3C" w:rsidP="00856149">
            <w:pPr>
              <w:spacing w:after="0" w:line="276" w:lineRule="auto"/>
              <w:ind w:left="-66"/>
              <w:jc w:val="both"/>
              <w:rPr>
                <w:rFonts w:eastAsia="Times New Roman" w:cs="Times New Roman"/>
                <w:b/>
                <w:color w:val="000000"/>
                <w:sz w:val="20"/>
                <w:szCs w:val="20"/>
              </w:rPr>
            </w:pPr>
            <w:r w:rsidRPr="00865B3C">
              <w:rPr>
                <w:rFonts w:eastAsia="Times New Roman" w:cs="Times New Roman"/>
                <w:b/>
                <w:color w:val="000000"/>
                <w:sz w:val="20"/>
                <w:szCs w:val="20"/>
              </w:rPr>
              <w:t>mil. Kč</w:t>
            </w:r>
          </w:p>
        </w:tc>
        <w:tc>
          <w:tcPr>
            <w:tcW w:w="992" w:type="dxa"/>
            <w:tcBorders>
              <w:top w:val="single" w:sz="12" w:space="0" w:color="auto"/>
              <w:left w:val="nil"/>
              <w:bottom w:val="single" w:sz="4" w:space="0" w:color="auto"/>
              <w:right w:val="nil"/>
            </w:tcBorders>
            <w:shd w:val="clear" w:color="auto" w:fill="FFFF00"/>
            <w:noWrap/>
            <w:vAlign w:val="center"/>
          </w:tcPr>
          <w:p w14:paraId="74AAD024" w14:textId="77777777" w:rsidR="00865B3C" w:rsidRPr="00865B3C" w:rsidRDefault="00865B3C" w:rsidP="00AA77D8">
            <w:pPr>
              <w:spacing w:after="0" w:line="276" w:lineRule="auto"/>
              <w:jc w:val="right"/>
              <w:rPr>
                <w:rFonts w:eastAsia="Times New Roman" w:cs="Times New Roman"/>
                <w:b/>
                <w:bCs/>
                <w:color w:val="000000"/>
                <w:sz w:val="20"/>
                <w:szCs w:val="20"/>
              </w:rPr>
            </w:pPr>
            <w:r w:rsidRPr="00865B3C">
              <w:rPr>
                <w:rFonts w:eastAsia="Times New Roman" w:cs="Times New Roman"/>
                <w:b/>
                <w:bCs/>
                <w:color w:val="000000"/>
                <w:sz w:val="20"/>
                <w:szCs w:val="20"/>
              </w:rPr>
              <w:t>2017</w:t>
            </w:r>
          </w:p>
        </w:tc>
        <w:tc>
          <w:tcPr>
            <w:tcW w:w="992" w:type="dxa"/>
            <w:tcBorders>
              <w:top w:val="single" w:sz="12" w:space="0" w:color="auto"/>
              <w:left w:val="nil"/>
              <w:bottom w:val="single" w:sz="4" w:space="0" w:color="auto"/>
              <w:right w:val="nil"/>
            </w:tcBorders>
            <w:shd w:val="clear" w:color="auto" w:fill="FFFF00"/>
            <w:noWrap/>
            <w:vAlign w:val="center"/>
          </w:tcPr>
          <w:p w14:paraId="57FFF4D4"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2018</w:t>
            </w:r>
          </w:p>
        </w:tc>
        <w:tc>
          <w:tcPr>
            <w:tcW w:w="992" w:type="dxa"/>
            <w:tcBorders>
              <w:top w:val="single" w:sz="12" w:space="0" w:color="auto"/>
              <w:left w:val="nil"/>
              <w:bottom w:val="single" w:sz="4" w:space="0" w:color="auto"/>
              <w:right w:val="nil"/>
            </w:tcBorders>
            <w:shd w:val="clear" w:color="auto" w:fill="FFFF00"/>
            <w:vAlign w:val="center"/>
          </w:tcPr>
          <w:p w14:paraId="11605DAF"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2019</w:t>
            </w:r>
          </w:p>
        </w:tc>
        <w:tc>
          <w:tcPr>
            <w:tcW w:w="1134" w:type="dxa"/>
            <w:tcBorders>
              <w:top w:val="single" w:sz="12" w:space="0" w:color="auto"/>
              <w:left w:val="nil"/>
              <w:bottom w:val="single" w:sz="4" w:space="0" w:color="auto"/>
              <w:right w:val="nil"/>
            </w:tcBorders>
            <w:shd w:val="clear" w:color="auto" w:fill="FFFF00"/>
          </w:tcPr>
          <w:p w14:paraId="38F6AEEF"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30.6.2020</w:t>
            </w:r>
          </w:p>
        </w:tc>
      </w:tr>
      <w:tr w:rsidR="00865B3C" w:rsidRPr="00865B3C" w14:paraId="690CD3B9" w14:textId="77777777" w:rsidTr="00865B3C">
        <w:trPr>
          <w:trHeight w:val="20"/>
        </w:trPr>
        <w:tc>
          <w:tcPr>
            <w:tcW w:w="5671" w:type="dxa"/>
            <w:tcBorders>
              <w:top w:val="single" w:sz="4" w:space="0" w:color="auto"/>
              <w:left w:val="nil"/>
              <w:bottom w:val="nil"/>
              <w:right w:val="nil"/>
            </w:tcBorders>
            <w:shd w:val="clear" w:color="auto" w:fill="FFFFFF"/>
            <w:noWrap/>
            <w:vAlign w:val="center"/>
          </w:tcPr>
          <w:p w14:paraId="5C82CA77" w14:textId="77777777" w:rsidR="00865B3C" w:rsidRPr="00865B3C" w:rsidRDefault="00865B3C" w:rsidP="00856149">
            <w:pPr>
              <w:spacing w:after="0" w:line="276" w:lineRule="auto"/>
              <w:ind w:left="-66"/>
              <w:jc w:val="both"/>
              <w:rPr>
                <w:rFonts w:eastAsia="Times New Roman" w:cs="Times New Roman"/>
                <w:b/>
                <w:bCs/>
                <w:caps/>
                <w:color w:val="000000"/>
                <w:sz w:val="20"/>
                <w:szCs w:val="20"/>
              </w:rPr>
            </w:pPr>
            <w:r w:rsidRPr="00865B3C">
              <w:rPr>
                <w:rFonts w:eastAsia="Times New Roman" w:cs="Times New Roman"/>
                <w:b/>
                <w:bCs/>
                <w:caps/>
                <w:color w:val="000000"/>
                <w:sz w:val="20"/>
                <w:szCs w:val="20"/>
              </w:rPr>
              <w:t>Pasiva a Vlastní kapitál</w:t>
            </w:r>
          </w:p>
        </w:tc>
        <w:tc>
          <w:tcPr>
            <w:tcW w:w="992" w:type="dxa"/>
            <w:tcBorders>
              <w:top w:val="single" w:sz="4" w:space="0" w:color="auto"/>
              <w:left w:val="nil"/>
              <w:bottom w:val="nil"/>
              <w:right w:val="nil"/>
            </w:tcBorders>
            <w:shd w:val="clear" w:color="000000" w:fill="FFFFFF"/>
            <w:noWrap/>
            <w:vAlign w:val="center"/>
          </w:tcPr>
          <w:p w14:paraId="209E2E98" w14:textId="77777777" w:rsidR="00865B3C" w:rsidRPr="00865B3C" w:rsidRDefault="00865B3C" w:rsidP="00AA77D8">
            <w:pPr>
              <w:spacing w:after="0" w:line="276" w:lineRule="auto"/>
              <w:jc w:val="right"/>
              <w:rPr>
                <w:rFonts w:eastAsia="Times New Roman" w:cs="Times New Roman"/>
                <w:color w:val="000000"/>
                <w:sz w:val="20"/>
                <w:szCs w:val="20"/>
              </w:rPr>
            </w:pPr>
          </w:p>
        </w:tc>
        <w:tc>
          <w:tcPr>
            <w:tcW w:w="992" w:type="dxa"/>
            <w:tcBorders>
              <w:top w:val="single" w:sz="4" w:space="0" w:color="auto"/>
              <w:left w:val="nil"/>
              <w:bottom w:val="nil"/>
              <w:right w:val="nil"/>
            </w:tcBorders>
            <w:shd w:val="clear" w:color="auto" w:fill="auto"/>
            <w:noWrap/>
            <w:vAlign w:val="center"/>
          </w:tcPr>
          <w:p w14:paraId="6F6E3E41" w14:textId="77777777" w:rsidR="00865B3C" w:rsidRPr="00865B3C" w:rsidRDefault="00865B3C" w:rsidP="00AA77D8">
            <w:pPr>
              <w:tabs>
                <w:tab w:val="decimal" w:pos="934"/>
                <w:tab w:val="decimal" w:pos="1094"/>
              </w:tabs>
              <w:spacing w:after="0" w:line="276" w:lineRule="auto"/>
              <w:ind w:right="-95"/>
              <w:jc w:val="right"/>
              <w:rPr>
                <w:rFonts w:eastAsia="Times New Roman" w:cs="Times New Roman"/>
                <w:sz w:val="20"/>
                <w:szCs w:val="20"/>
              </w:rPr>
            </w:pPr>
          </w:p>
        </w:tc>
        <w:tc>
          <w:tcPr>
            <w:tcW w:w="992" w:type="dxa"/>
            <w:tcBorders>
              <w:top w:val="single" w:sz="4" w:space="0" w:color="auto"/>
              <w:left w:val="nil"/>
              <w:bottom w:val="nil"/>
              <w:right w:val="nil"/>
            </w:tcBorders>
            <w:shd w:val="clear" w:color="auto" w:fill="auto"/>
            <w:vAlign w:val="center"/>
          </w:tcPr>
          <w:p w14:paraId="735736ED" w14:textId="77777777" w:rsidR="00865B3C" w:rsidRPr="00865B3C" w:rsidRDefault="00865B3C" w:rsidP="00AA77D8">
            <w:pPr>
              <w:tabs>
                <w:tab w:val="decimal" w:pos="934"/>
                <w:tab w:val="decimal" w:pos="1094"/>
              </w:tabs>
              <w:spacing w:after="0" w:line="276" w:lineRule="auto"/>
              <w:ind w:right="-95"/>
              <w:jc w:val="right"/>
              <w:rPr>
                <w:rFonts w:eastAsia="Times New Roman" w:cs="Times New Roman"/>
                <w:sz w:val="20"/>
                <w:szCs w:val="20"/>
              </w:rPr>
            </w:pPr>
          </w:p>
        </w:tc>
        <w:tc>
          <w:tcPr>
            <w:tcW w:w="1134" w:type="dxa"/>
            <w:tcBorders>
              <w:top w:val="single" w:sz="4" w:space="0" w:color="auto"/>
              <w:left w:val="nil"/>
              <w:bottom w:val="nil"/>
              <w:right w:val="nil"/>
            </w:tcBorders>
            <w:shd w:val="clear" w:color="auto" w:fill="auto"/>
          </w:tcPr>
          <w:p w14:paraId="73E310EA" w14:textId="77777777" w:rsidR="00865B3C" w:rsidRPr="00865B3C" w:rsidRDefault="00865B3C" w:rsidP="00AA77D8">
            <w:pPr>
              <w:tabs>
                <w:tab w:val="decimal" w:pos="934"/>
                <w:tab w:val="decimal" w:pos="1094"/>
              </w:tabs>
              <w:spacing w:after="0" w:line="276" w:lineRule="auto"/>
              <w:ind w:right="-95"/>
              <w:jc w:val="right"/>
              <w:rPr>
                <w:rFonts w:eastAsia="Times New Roman" w:cs="Times New Roman"/>
                <w:sz w:val="20"/>
                <w:szCs w:val="20"/>
              </w:rPr>
            </w:pPr>
          </w:p>
        </w:tc>
      </w:tr>
      <w:tr w:rsidR="00865B3C" w:rsidRPr="00865B3C" w14:paraId="2BEE0DA0" w14:textId="77777777" w:rsidTr="00865B3C">
        <w:trPr>
          <w:trHeight w:val="20"/>
        </w:trPr>
        <w:tc>
          <w:tcPr>
            <w:tcW w:w="5671" w:type="dxa"/>
            <w:tcBorders>
              <w:top w:val="nil"/>
              <w:left w:val="nil"/>
              <w:bottom w:val="nil"/>
              <w:right w:val="nil"/>
            </w:tcBorders>
            <w:shd w:val="clear" w:color="auto" w:fill="FFFFFF"/>
            <w:noWrap/>
            <w:vAlign w:val="center"/>
          </w:tcPr>
          <w:p w14:paraId="2C233DA5"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Finanční závazky k obchodování</w:t>
            </w:r>
          </w:p>
        </w:tc>
        <w:tc>
          <w:tcPr>
            <w:tcW w:w="992" w:type="dxa"/>
            <w:tcBorders>
              <w:top w:val="nil"/>
              <w:left w:val="nil"/>
              <w:bottom w:val="nil"/>
              <w:right w:val="nil"/>
            </w:tcBorders>
            <w:shd w:val="clear" w:color="000000" w:fill="FFFFFF"/>
            <w:noWrap/>
            <w:vAlign w:val="bottom"/>
          </w:tcPr>
          <w:p w14:paraId="5F00A9D2"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1 731</w:t>
            </w:r>
          </w:p>
        </w:tc>
        <w:tc>
          <w:tcPr>
            <w:tcW w:w="992" w:type="dxa"/>
            <w:tcBorders>
              <w:top w:val="nil"/>
              <w:left w:val="nil"/>
              <w:bottom w:val="nil"/>
              <w:right w:val="nil"/>
            </w:tcBorders>
            <w:shd w:val="clear" w:color="000000" w:fill="FFFFFF"/>
            <w:noWrap/>
            <w:vAlign w:val="bottom"/>
          </w:tcPr>
          <w:p w14:paraId="377FD70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1 752</w:t>
            </w:r>
          </w:p>
        </w:tc>
        <w:tc>
          <w:tcPr>
            <w:tcW w:w="992" w:type="dxa"/>
            <w:tcBorders>
              <w:top w:val="nil"/>
              <w:left w:val="nil"/>
              <w:bottom w:val="nil"/>
              <w:right w:val="nil"/>
            </w:tcBorders>
            <w:shd w:val="clear" w:color="000000" w:fill="FFFFFF"/>
            <w:vAlign w:val="bottom"/>
          </w:tcPr>
          <w:p w14:paraId="3E69C79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1 801</w:t>
            </w:r>
          </w:p>
        </w:tc>
        <w:tc>
          <w:tcPr>
            <w:tcW w:w="1134" w:type="dxa"/>
            <w:tcBorders>
              <w:top w:val="nil"/>
              <w:left w:val="nil"/>
              <w:bottom w:val="nil"/>
              <w:right w:val="nil"/>
            </w:tcBorders>
            <w:shd w:val="clear" w:color="auto" w:fill="auto"/>
            <w:vAlign w:val="bottom"/>
          </w:tcPr>
          <w:p w14:paraId="7B19E83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2 998</w:t>
            </w:r>
          </w:p>
        </w:tc>
      </w:tr>
      <w:tr w:rsidR="00865B3C" w:rsidRPr="00865B3C" w14:paraId="68F02020" w14:textId="77777777" w:rsidTr="00865B3C">
        <w:trPr>
          <w:trHeight w:val="20"/>
        </w:trPr>
        <w:tc>
          <w:tcPr>
            <w:tcW w:w="5671" w:type="dxa"/>
            <w:tcBorders>
              <w:top w:val="nil"/>
              <w:left w:val="nil"/>
              <w:bottom w:val="nil"/>
              <w:right w:val="nil"/>
            </w:tcBorders>
            <w:shd w:val="clear" w:color="auto" w:fill="FFFFFF"/>
            <w:noWrap/>
            <w:vAlign w:val="center"/>
          </w:tcPr>
          <w:p w14:paraId="668D7AFB"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Deriváty k obchodování</w:t>
            </w:r>
          </w:p>
        </w:tc>
        <w:tc>
          <w:tcPr>
            <w:tcW w:w="992" w:type="dxa"/>
            <w:tcBorders>
              <w:top w:val="nil"/>
              <w:left w:val="nil"/>
              <w:bottom w:val="nil"/>
              <w:right w:val="nil"/>
            </w:tcBorders>
            <w:shd w:val="clear" w:color="000000" w:fill="FFFFFF"/>
            <w:noWrap/>
            <w:vAlign w:val="bottom"/>
          </w:tcPr>
          <w:p w14:paraId="5CB3D07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1 731</w:t>
            </w:r>
          </w:p>
        </w:tc>
        <w:tc>
          <w:tcPr>
            <w:tcW w:w="992" w:type="dxa"/>
            <w:tcBorders>
              <w:top w:val="nil"/>
              <w:left w:val="nil"/>
              <w:bottom w:val="nil"/>
              <w:right w:val="nil"/>
            </w:tcBorders>
            <w:shd w:val="clear" w:color="000000" w:fill="FFFFFF"/>
            <w:noWrap/>
            <w:vAlign w:val="bottom"/>
          </w:tcPr>
          <w:p w14:paraId="7950500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1 752</w:t>
            </w:r>
          </w:p>
        </w:tc>
        <w:tc>
          <w:tcPr>
            <w:tcW w:w="992" w:type="dxa"/>
            <w:tcBorders>
              <w:top w:val="nil"/>
              <w:left w:val="nil"/>
              <w:bottom w:val="nil"/>
              <w:right w:val="nil"/>
            </w:tcBorders>
            <w:shd w:val="clear" w:color="000000" w:fill="FFFFFF"/>
            <w:vAlign w:val="bottom"/>
          </w:tcPr>
          <w:p w14:paraId="191BC3C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1 801</w:t>
            </w:r>
          </w:p>
        </w:tc>
        <w:tc>
          <w:tcPr>
            <w:tcW w:w="1134" w:type="dxa"/>
            <w:tcBorders>
              <w:top w:val="nil"/>
              <w:left w:val="nil"/>
              <w:bottom w:val="nil"/>
              <w:right w:val="nil"/>
            </w:tcBorders>
            <w:shd w:val="clear" w:color="auto" w:fill="auto"/>
            <w:vAlign w:val="bottom"/>
          </w:tcPr>
          <w:p w14:paraId="5931DCC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2 998</w:t>
            </w:r>
          </w:p>
        </w:tc>
      </w:tr>
      <w:tr w:rsidR="00865B3C" w:rsidRPr="00865B3C" w14:paraId="58A29BB8" w14:textId="77777777" w:rsidTr="00865B3C">
        <w:trPr>
          <w:trHeight w:val="20"/>
        </w:trPr>
        <w:tc>
          <w:tcPr>
            <w:tcW w:w="5671" w:type="dxa"/>
            <w:tcBorders>
              <w:top w:val="nil"/>
              <w:left w:val="nil"/>
              <w:bottom w:val="nil"/>
              <w:right w:val="nil"/>
            </w:tcBorders>
            <w:shd w:val="clear" w:color="auto" w:fill="FFFFFF"/>
            <w:noWrap/>
            <w:vAlign w:val="center"/>
          </w:tcPr>
          <w:p w14:paraId="5F0D574C"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Finanční závazky v naběhlé hodnotě</w:t>
            </w:r>
          </w:p>
        </w:tc>
        <w:tc>
          <w:tcPr>
            <w:tcW w:w="992" w:type="dxa"/>
            <w:tcBorders>
              <w:top w:val="nil"/>
              <w:left w:val="nil"/>
              <w:bottom w:val="nil"/>
              <w:right w:val="nil"/>
            </w:tcBorders>
            <w:shd w:val="clear" w:color="000000" w:fill="FFFFFF"/>
            <w:noWrap/>
            <w:vAlign w:val="bottom"/>
          </w:tcPr>
          <w:p w14:paraId="1DDAD92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305 694</w:t>
            </w:r>
          </w:p>
        </w:tc>
        <w:tc>
          <w:tcPr>
            <w:tcW w:w="992" w:type="dxa"/>
            <w:tcBorders>
              <w:top w:val="nil"/>
              <w:left w:val="nil"/>
              <w:bottom w:val="nil"/>
              <w:right w:val="nil"/>
            </w:tcBorders>
            <w:shd w:val="clear" w:color="000000" w:fill="FFFFFF"/>
            <w:noWrap/>
            <w:vAlign w:val="bottom"/>
          </w:tcPr>
          <w:p w14:paraId="6FC8644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328 376</w:t>
            </w:r>
          </w:p>
        </w:tc>
        <w:tc>
          <w:tcPr>
            <w:tcW w:w="992" w:type="dxa"/>
            <w:tcBorders>
              <w:top w:val="nil"/>
              <w:left w:val="nil"/>
              <w:bottom w:val="nil"/>
              <w:right w:val="nil"/>
            </w:tcBorders>
            <w:shd w:val="clear" w:color="000000" w:fill="FFFFFF"/>
            <w:vAlign w:val="bottom"/>
          </w:tcPr>
          <w:p w14:paraId="75BC1F2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332 656</w:t>
            </w:r>
          </w:p>
        </w:tc>
        <w:tc>
          <w:tcPr>
            <w:tcW w:w="1134" w:type="dxa"/>
            <w:tcBorders>
              <w:top w:val="nil"/>
              <w:left w:val="nil"/>
              <w:bottom w:val="nil"/>
              <w:right w:val="nil"/>
            </w:tcBorders>
            <w:shd w:val="clear" w:color="auto" w:fill="auto"/>
            <w:vAlign w:val="bottom"/>
          </w:tcPr>
          <w:p w14:paraId="4D051FD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369 069</w:t>
            </w:r>
          </w:p>
        </w:tc>
      </w:tr>
      <w:tr w:rsidR="00865B3C" w:rsidRPr="00865B3C" w14:paraId="0571C658" w14:textId="77777777" w:rsidTr="00865B3C">
        <w:trPr>
          <w:trHeight w:val="20"/>
        </w:trPr>
        <w:tc>
          <w:tcPr>
            <w:tcW w:w="5671" w:type="dxa"/>
            <w:tcBorders>
              <w:top w:val="nil"/>
              <w:left w:val="nil"/>
              <w:bottom w:val="nil"/>
              <w:right w:val="nil"/>
            </w:tcBorders>
            <w:shd w:val="clear" w:color="auto" w:fill="FFFFFF"/>
            <w:noWrap/>
            <w:vAlign w:val="center"/>
          </w:tcPr>
          <w:p w14:paraId="713CD947"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Závazky vůči bankám</w:t>
            </w:r>
          </w:p>
        </w:tc>
        <w:tc>
          <w:tcPr>
            <w:tcW w:w="992" w:type="dxa"/>
            <w:tcBorders>
              <w:top w:val="nil"/>
              <w:left w:val="nil"/>
              <w:bottom w:val="nil"/>
              <w:right w:val="nil"/>
            </w:tcBorders>
            <w:shd w:val="clear" w:color="auto" w:fill="auto"/>
            <w:noWrap/>
            <w:vAlign w:val="bottom"/>
          </w:tcPr>
          <w:p w14:paraId="4668672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27 380</w:t>
            </w:r>
          </w:p>
        </w:tc>
        <w:tc>
          <w:tcPr>
            <w:tcW w:w="992" w:type="dxa"/>
            <w:tcBorders>
              <w:top w:val="nil"/>
              <w:left w:val="nil"/>
              <w:bottom w:val="nil"/>
              <w:right w:val="nil"/>
            </w:tcBorders>
            <w:shd w:val="clear" w:color="auto" w:fill="auto"/>
            <w:noWrap/>
            <w:vAlign w:val="bottom"/>
          </w:tcPr>
          <w:p w14:paraId="2E4A7F2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32 136</w:t>
            </w:r>
          </w:p>
        </w:tc>
        <w:tc>
          <w:tcPr>
            <w:tcW w:w="992" w:type="dxa"/>
            <w:tcBorders>
              <w:top w:val="nil"/>
              <w:left w:val="nil"/>
              <w:bottom w:val="nil"/>
              <w:right w:val="nil"/>
            </w:tcBorders>
            <w:shd w:val="clear" w:color="auto" w:fill="auto"/>
            <w:vAlign w:val="bottom"/>
          </w:tcPr>
          <w:p w14:paraId="7AFD3DF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21 900</w:t>
            </w:r>
          </w:p>
        </w:tc>
        <w:tc>
          <w:tcPr>
            <w:tcW w:w="1134" w:type="dxa"/>
            <w:tcBorders>
              <w:top w:val="nil"/>
              <w:left w:val="nil"/>
              <w:bottom w:val="nil"/>
              <w:right w:val="nil"/>
            </w:tcBorders>
            <w:shd w:val="clear" w:color="auto" w:fill="auto"/>
            <w:vAlign w:val="bottom"/>
          </w:tcPr>
          <w:p w14:paraId="603FAA3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27 672</w:t>
            </w:r>
          </w:p>
        </w:tc>
      </w:tr>
      <w:tr w:rsidR="00865B3C" w:rsidRPr="00865B3C" w14:paraId="393F15DF" w14:textId="77777777" w:rsidTr="00865B3C">
        <w:trPr>
          <w:trHeight w:val="20"/>
        </w:trPr>
        <w:tc>
          <w:tcPr>
            <w:tcW w:w="5671" w:type="dxa"/>
            <w:tcBorders>
              <w:top w:val="nil"/>
              <w:left w:val="nil"/>
              <w:bottom w:val="nil"/>
              <w:right w:val="nil"/>
            </w:tcBorders>
            <w:shd w:val="clear" w:color="auto" w:fill="FFFFFF"/>
            <w:noWrap/>
            <w:vAlign w:val="center"/>
          </w:tcPr>
          <w:p w14:paraId="78D2C095"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Závazky vůči klientům</w:t>
            </w:r>
          </w:p>
        </w:tc>
        <w:tc>
          <w:tcPr>
            <w:tcW w:w="992" w:type="dxa"/>
            <w:tcBorders>
              <w:top w:val="nil"/>
              <w:left w:val="nil"/>
              <w:bottom w:val="nil"/>
              <w:right w:val="nil"/>
            </w:tcBorders>
            <w:shd w:val="clear" w:color="auto" w:fill="auto"/>
            <w:noWrap/>
            <w:vAlign w:val="bottom"/>
          </w:tcPr>
          <w:p w14:paraId="4833112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252 076</w:t>
            </w:r>
          </w:p>
        </w:tc>
        <w:tc>
          <w:tcPr>
            <w:tcW w:w="992" w:type="dxa"/>
            <w:tcBorders>
              <w:top w:val="nil"/>
              <w:left w:val="nil"/>
              <w:bottom w:val="nil"/>
              <w:right w:val="nil"/>
            </w:tcBorders>
            <w:shd w:val="clear" w:color="auto" w:fill="auto"/>
            <w:noWrap/>
            <w:vAlign w:val="bottom"/>
          </w:tcPr>
          <w:p w14:paraId="6A27180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271 119</w:t>
            </w:r>
          </w:p>
        </w:tc>
        <w:tc>
          <w:tcPr>
            <w:tcW w:w="992" w:type="dxa"/>
            <w:tcBorders>
              <w:top w:val="nil"/>
              <w:left w:val="nil"/>
              <w:bottom w:val="nil"/>
              <w:right w:val="nil"/>
            </w:tcBorders>
            <w:shd w:val="clear" w:color="auto" w:fill="auto"/>
            <w:vAlign w:val="bottom"/>
          </w:tcPr>
          <w:p w14:paraId="78D2C51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290 691</w:t>
            </w:r>
          </w:p>
        </w:tc>
        <w:tc>
          <w:tcPr>
            <w:tcW w:w="1134" w:type="dxa"/>
            <w:tcBorders>
              <w:top w:val="nil"/>
              <w:left w:val="nil"/>
              <w:bottom w:val="nil"/>
              <w:right w:val="nil"/>
            </w:tcBorders>
            <w:shd w:val="clear" w:color="auto" w:fill="auto"/>
            <w:vAlign w:val="bottom"/>
          </w:tcPr>
          <w:p w14:paraId="48DF4AA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320 135</w:t>
            </w:r>
          </w:p>
        </w:tc>
      </w:tr>
      <w:tr w:rsidR="00865B3C" w:rsidRPr="00865B3C" w14:paraId="7BE222F0" w14:textId="77777777" w:rsidTr="00865B3C">
        <w:trPr>
          <w:trHeight w:val="20"/>
        </w:trPr>
        <w:tc>
          <w:tcPr>
            <w:tcW w:w="5671" w:type="dxa"/>
            <w:tcBorders>
              <w:top w:val="nil"/>
              <w:left w:val="nil"/>
              <w:bottom w:val="nil"/>
              <w:right w:val="nil"/>
            </w:tcBorders>
            <w:shd w:val="clear" w:color="auto" w:fill="FFFFFF"/>
            <w:noWrap/>
            <w:vAlign w:val="center"/>
          </w:tcPr>
          <w:p w14:paraId="4436F0DE"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 xml:space="preserve">   z toho: změna reálné hodnoty zajišťovaných položek</w:t>
            </w:r>
          </w:p>
        </w:tc>
        <w:tc>
          <w:tcPr>
            <w:tcW w:w="992" w:type="dxa"/>
            <w:tcBorders>
              <w:top w:val="nil"/>
              <w:left w:val="nil"/>
              <w:bottom w:val="nil"/>
              <w:right w:val="nil"/>
            </w:tcBorders>
            <w:shd w:val="clear" w:color="auto" w:fill="auto"/>
            <w:noWrap/>
            <w:vAlign w:val="bottom"/>
          </w:tcPr>
          <w:p w14:paraId="0AC33AD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130</w:t>
            </w:r>
          </w:p>
        </w:tc>
        <w:tc>
          <w:tcPr>
            <w:tcW w:w="992" w:type="dxa"/>
            <w:tcBorders>
              <w:top w:val="nil"/>
              <w:left w:val="nil"/>
              <w:bottom w:val="nil"/>
              <w:right w:val="nil"/>
            </w:tcBorders>
            <w:shd w:val="clear" w:color="auto" w:fill="auto"/>
            <w:noWrap/>
            <w:vAlign w:val="bottom"/>
          </w:tcPr>
          <w:p w14:paraId="7EB5C4F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90</w:t>
            </w:r>
          </w:p>
        </w:tc>
        <w:tc>
          <w:tcPr>
            <w:tcW w:w="992" w:type="dxa"/>
            <w:tcBorders>
              <w:top w:val="nil"/>
              <w:left w:val="nil"/>
              <w:bottom w:val="nil"/>
              <w:right w:val="nil"/>
            </w:tcBorders>
            <w:shd w:val="clear" w:color="auto" w:fill="auto"/>
            <w:vAlign w:val="bottom"/>
          </w:tcPr>
          <w:p w14:paraId="1E5216A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42</w:t>
            </w:r>
          </w:p>
        </w:tc>
        <w:tc>
          <w:tcPr>
            <w:tcW w:w="1134" w:type="dxa"/>
            <w:tcBorders>
              <w:top w:val="nil"/>
              <w:left w:val="nil"/>
              <w:bottom w:val="nil"/>
              <w:right w:val="nil"/>
            </w:tcBorders>
            <w:shd w:val="clear" w:color="auto" w:fill="auto"/>
            <w:vAlign w:val="bottom"/>
          </w:tcPr>
          <w:p w14:paraId="4E3C56F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18</w:t>
            </w:r>
          </w:p>
        </w:tc>
      </w:tr>
      <w:tr w:rsidR="00865B3C" w:rsidRPr="00865B3C" w14:paraId="529D6FA9" w14:textId="77777777" w:rsidTr="00865B3C">
        <w:trPr>
          <w:trHeight w:val="20"/>
        </w:trPr>
        <w:tc>
          <w:tcPr>
            <w:tcW w:w="5671" w:type="dxa"/>
            <w:tcBorders>
              <w:top w:val="nil"/>
              <w:left w:val="nil"/>
              <w:bottom w:val="nil"/>
              <w:right w:val="nil"/>
            </w:tcBorders>
            <w:shd w:val="clear" w:color="auto" w:fill="FFFFFF"/>
            <w:noWrap/>
            <w:vAlign w:val="center"/>
          </w:tcPr>
          <w:p w14:paraId="2D635B22"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Emitované dluhové cenné papíry</w:t>
            </w:r>
          </w:p>
        </w:tc>
        <w:tc>
          <w:tcPr>
            <w:tcW w:w="992" w:type="dxa"/>
            <w:tcBorders>
              <w:top w:val="nil"/>
              <w:left w:val="nil"/>
              <w:bottom w:val="nil"/>
              <w:right w:val="nil"/>
            </w:tcBorders>
            <w:shd w:val="clear" w:color="auto" w:fill="auto"/>
            <w:noWrap/>
            <w:vAlign w:val="bottom"/>
          </w:tcPr>
          <w:p w14:paraId="57ABEA4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19 473</w:t>
            </w:r>
          </w:p>
        </w:tc>
        <w:tc>
          <w:tcPr>
            <w:tcW w:w="992" w:type="dxa"/>
            <w:tcBorders>
              <w:top w:val="nil"/>
              <w:left w:val="nil"/>
              <w:bottom w:val="nil"/>
              <w:right w:val="nil"/>
            </w:tcBorders>
            <w:shd w:val="clear" w:color="auto" w:fill="auto"/>
            <w:noWrap/>
            <w:vAlign w:val="bottom"/>
          </w:tcPr>
          <w:p w14:paraId="7946EE0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19 600</w:t>
            </w:r>
          </w:p>
        </w:tc>
        <w:tc>
          <w:tcPr>
            <w:tcW w:w="992" w:type="dxa"/>
            <w:tcBorders>
              <w:top w:val="nil"/>
              <w:left w:val="nil"/>
              <w:bottom w:val="nil"/>
              <w:right w:val="nil"/>
            </w:tcBorders>
            <w:shd w:val="clear" w:color="auto" w:fill="auto"/>
            <w:vAlign w:val="bottom"/>
          </w:tcPr>
          <w:p w14:paraId="312716C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12 692</w:t>
            </w:r>
          </w:p>
        </w:tc>
        <w:tc>
          <w:tcPr>
            <w:tcW w:w="1134" w:type="dxa"/>
            <w:tcBorders>
              <w:top w:val="nil"/>
              <w:left w:val="nil"/>
              <w:bottom w:val="nil"/>
              <w:right w:val="nil"/>
            </w:tcBorders>
            <w:shd w:val="clear" w:color="auto" w:fill="auto"/>
            <w:vAlign w:val="bottom"/>
          </w:tcPr>
          <w:p w14:paraId="43A2AB9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13 265</w:t>
            </w:r>
          </w:p>
        </w:tc>
      </w:tr>
      <w:tr w:rsidR="00865B3C" w:rsidRPr="00865B3C" w14:paraId="431893FA" w14:textId="77777777" w:rsidTr="00865B3C">
        <w:trPr>
          <w:trHeight w:val="20"/>
        </w:trPr>
        <w:tc>
          <w:tcPr>
            <w:tcW w:w="5671" w:type="dxa"/>
            <w:tcBorders>
              <w:top w:val="nil"/>
              <w:left w:val="nil"/>
              <w:bottom w:val="nil"/>
              <w:right w:val="nil"/>
            </w:tcBorders>
            <w:shd w:val="clear" w:color="auto" w:fill="FFFFFF"/>
            <w:noWrap/>
            <w:vAlign w:val="center"/>
          </w:tcPr>
          <w:p w14:paraId="7CD17BE2"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 xml:space="preserve">   z toho: změna reálné hodnoty zajišťovaných položek</w:t>
            </w:r>
          </w:p>
        </w:tc>
        <w:tc>
          <w:tcPr>
            <w:tcW w:w="992" w:type="dxa"/>
            <w:tcBorders>
              <w:top w:val="nil"/>
              <w:left w:val="nil"/>
              <w:bottom w:val="nil"/>
              <w:right w:val="nil"/>
            </w:tcBorders>
            <w:shd w:val="clear" w:color="auto" w:fill="auto"/>
            <w:noWrap/>
            <w:vAlign w:val="bottom"/>
          </w:tcPr>
          <w:p w14:paraId="0B8A96F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53</w:t>
            </w:r>
          </w:p>
        </w:tc>
        <w:tc>
          <w:tcPr>
            <w:tcW w:w="992" w:type="dxa"/>
            <w:tcBorders>
              <w:top w:val="nil"/>
              <w:left w:val="nil"/>
              <w:bottom w:val="nil"/>
              <w:right w:val="nil"/>
            </w:tcBorders>
            <w:shd w:val="clear" w:color="auto" w:fill="auto"/>
            <w:noWrap/>
            <w:vAlign w:val="bottom"/>
          </w:tcPr>
          <w:p w14:paraId="5ECE8A5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28</w:t>
            </w:r>
          </w:p>
        </w:tc>
        <w:tc>
          <w:tcPr>
            <w:tcW w:w="992" w:type="dxa"/>
            <w:tcBorders>
              <w:top w:val="nil"/>
              <w:left w:val="nil"/>
              <w:bottom w:val="nil"/>
              <w:right w:val="nil"/>
            </w:tcBorders>
            <w:shd w:val="clear" w:color="auto" w:fill="auto"/>
            <w:vAlign w:val="bottom"/>
          </w:tcPr>
          <w:p w14:paraId="349D710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i/>
                <w:iCs/>
                <w:color w:val="000000"/>
                <w:sz w:val="20"/>
                <w:szCs w:val="20"/>
              </w:rPr>
            </w:pPr>
            <w:r w:rsidRPr="00865B3C">
              <w:rPr>
                <w:rFonts w:eastAsia="Times New Roman" w:cs="Times New Roman"/>
                <w:i/>
                <w:iCs/>
                <w:color w:val="000000"/>
                <w:sz w:val="20"/>
                <w:szCs w:val="20"/>
              </w:rPr>
              <w:t>-</w:t>
            </w:r>
          </w:p>
        </w:tc>
        <w:tc>
          <w:tcPr>
            <w:tcW w:w="1134" w:type="dxa"/>
            <w:tcBorders>
              <w:top w:val="nil"/>
              <w:left w:val="nil"/>
              <w:bottom w:val="nil"/>
              <w:right w:val="nil"/>
            </w:tcBorders>
            <w:shd w:val="clear" w:color="auto" w:fill="auto"/>
            <w:vAlign w:val="bottom"/>
          </w:tcPr>
          <w:p w14:paraId="1705584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w:t>
            </w:r>
          </w:p>
        </w:tc>
      </w:tr>
      <w:tr w:rsidR="00865B3C" w:rsidRPr="00865B3C" w14:paraId="740E8D82" w14:textId="77777777" w:rsidTr="00865B3C">
        <w:trPr>
          <w:trHeight w:val="20"/>
        </w:trPr>
        <w:tc>
          <w:tcPr>
            <w:tcW w:w="5671" w:type="dxa"/>
            <w:tcBorders>
              <w:top w:val="nil"/>
              <w:left w:val="nil"/>
              <w:bottom w:val="nil"/>
              <w:right w:val="nil"/>
            </w:tcBorders>
            <w:shd w:val="clear" w:color="auto" w:fill="FFFFFF"/>
            <w:noWrap/>
            <w:vAlign w:val="center"/>
          </w:tcPr>
          <w:p w14:paraId="20F1C526"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Podřízené závazky a dluhopisy</w:t>
            </w:r>
          </w:p>
        </w:tc>
        <w:tc>
          <w:tcPr>
            <w:tcW w:w="992" w:type="dxa"/>
            <w:tcBorders>
              <w:top w:val="nil"/>
              <w:left w:val="nil"/>
              <w:bottom w:val="nil"/>
              <w:right w:val="nil"/>
            </w:tcBorders>
            <w:shd w:val="clear" w:color="000000" w:fill="FFFFFF"/>
            <w:noWrap/>
            <w:vAlign w:val="bottom"/>
          </w:tcPr>
          <w:p w14:paraId="762508C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2 713</w:t>
            </w:r>
          </w:p>
        </w:tc>
        <w:tc>
          <w:tcPr>
            <w:tcW w:w="992" w:type="dxa"/>
            <w:tcBorders>
              <w:top w:val="nil"/>
              <w:left w:val="nil"/>
              <w:bottom w:val="nil"/>
              <w:right w:val="nil"/>
            </w:tcBorders>
            <w:shd w:val="clear" w:color="000000" w:fill="FFFFFF"/>
            <w:noWrap/>
            <w:vAlign w:val="bottom"/>
          </w:tcPr>
          <w:p w14:paraId="05CEF9E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2 577</w:t>
            </w:r>
          </w:p>
        </w:tc>
        <w:tc>
          <w:tcPr>
            <w:tcW w:w="992" w:type="dxa"/>
            <w:tcBorders>
              <w:top w:val="nil"/>
              <w:left w:val="nil"/>
              <w:bottom w:val="nil"/>
              <w:right w:val="nil"/>
            </w:tcBorders>
            <w:shd w:val="clear" w:color="000000" w:fill="FFFFFF"/>
            <w:vAlign w:val="bottom"/>
          </w:tcPr>
          <w:p w14:paraId="70553E7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3 309</w:t>
            </w:r>
          </w:p>
        </w:tc>
        <w:tc>
          <w:tcPr>
            <w:tcW w:w="1134" w:type="dxa"/>
            <w:tcBorders>
              <w:top w:val="nil"/>
              <w:left w:val="nil"/>
              <w:bottom w:val="nil"/>
              <w:right w:val="nil"/>
            </w:tcBorders>
            <w:shd w:val="clear" w:color="auto" w:fill="auto"/>
            <w:vAlign w:val="bottom"/>
          </w:tcPr>
          <w:p w14:paraId="114A8CF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3 482</w:t>
            </w:r>
          </w:p>
        </w:tc>
      </w:tr>
      <w:tr w:rsidR="00865B3C" w:rsidRPr="00865B3C" w14:paraId="15C86BA0" w14:textId="77777777" w:rsidTr="00865B3C">
        <w:trPr>
          <w:trHeight w:val="20"/>
        </w:trPr>
        <w:tc>
          <w:tcPr>
            <w:tcW w:w="5671" w:type="dxa"/>
            <w:tcBorders>
              <w:top w:val="nil"/>
              <w:left w:val="nil"/>
              <w:bottom w:val="nil"/>
              <w:right w:val="nil"/>
            </w:tcBorders>
            <w:shd w:val="clear" w:color="auto" w:fill="FFFFFF"/>
            <w:noWrap/>
            <w:vAlign w:val="center"/>
          </w:tcPr>
          <w:p w14:paraId="6D57B3C1"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 xml:space="preserve">   Ostatní finanční závazky</w:t>
            </w:r>
          </w:p>
        </w:tc>
        <w:tc>
          <w:tcPr>
            <w:tcW w:w="992" w:type="dxa"/>
            <w:tcBorders>
              <w:top w:val="nil"/>
              <w:left w:val="nil"/>
              <w:bottom w:val="nil"/>
              <w:right w:val="nil"/>
            </w:tcBorders>
            <w:shd w:val="clear" w:color="000000" w:fill="FFFFFF"/>
            <w:noWrap/>
            <w:vAlign w:val="bottom"/>
          </w:tcPr>
          <w:p w14:paraId="5897D2F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4 052</w:t>
            </w:r>
          </w:p>
        </w:tc>
        <w:tc>
          <w:tcPr>
            <w:tcW w:w="992" w:type="dxa"/>
            <w:tcBorders>
              <w:top w:val="nil"/>
              <w:left w:val="nil"/>
              <w:bottom w:val="nil"/>
              <w:right w:val="nil"/>
            </w:tcBorders>
            <w:shd w:val="clear" w:color="000000" w:fill="FFFFFF"/>
            <w:noWrap/>
            <w:vAlign w:val="bottom"/>
          </w:tcPr>
          <w:p w14:paraId="5384740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2 944</w:t>
            </w:r>
          </w:p>
        </w:tc>
        <w:tc>
          <w:tcPr>
            <w:tcW w:w="992" w:type="dxa"/>
            <w:tcBorders>
              <w:top w:val="nil"/>
              <w:left w:val="nil"/>
              <w:bottom w:val="nil"/>
              <w:right w:val="nil"/>
            </w:tcBorders>
            <w:shd w:val="clear" w:color="000000" w:fill="FFFFFF"/>
            <w:vAlign w:val="bottom"/>
          </w:tcPr>
          <w:p w14:paraId="1B64939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4 064</w:t>
            </w:r>
          </w:p>
        </w:tc>
        <w:tc>
          <w:tcPr>
            <w:tcW w:w="1134" w:type="dxa"/>
            <w:tcBorders>
              <w:top w:val="nil"/>
              <w:left w:val="nil"/>
              <w:bottom w:val="nil"/>
              <w:right w:val="nil"/>
            </w:tcBorders>
            <w:shd w:val="clear" w:color="auto" w:fill="auto"/>
            <w:vAlign w:val="bottom"/>
          </w:tcPr>
          <w:p w14:paraId="7C7E567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4 515</w:t>
            </w:r>
          </w:p>
        </w:tc>
      </w:tr>
      <w:tr w:rsidR="00865B3C" w:rsidRPr="00865B3C" w14:paraId="4B3993F5" w14:textId="77777777" w:rsidTr="00865B3C">
        <w:trPr>
          <w:trHeight w:val="20"/>
        </w:trPr>
        <w:tc>
          <w:tcPr>
            <w:tcW w:w="5671" w:type="dxa"/>
            <w:tcBorders>
              <w:top w:val="nil"/>
              <w:left w:val="nil"/>
              <w:bottom w:val="nil"/>
              <w:right w:val="nil"/>
            </w:tcBorders>
            <w:shd w:val="clear" w:color="auto" w:fill="FFFFFF"/>
            <w:noWrap/>
            <w:vAlign w:val="center"/>
          </w:tcPr>
          <w:p w14:paraId="44D5A2C8"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Přecenění na reálnou hodnotu u portfoliově přeceňovaných položek (závazky vůči klientům)</w:t>
            </w:r>
          </w:p>
        </w:tc>
        <w:tc>
          <w:tcPr>
            <w:tcW w:w="992" w:type="dxa"/>
            <w:tcBorders>
              <w:top w:val="nil"/>
              <w:left w:val="nil"/>
              <w:bottom w:val="nil"/>
              <w:right w:val="nil"/>
            </w:tcBorders>
            <w:shd w:val="clear" w:color="000000" w:fill="FFFFFF"/>
            <w:noWrap/>
            <w:vAlign w:val="bottom"/>
          </w:tcPr>
          <w:p w14:paraId="52D29B5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(1 849)</w:t>
            </w:r>
          </w:p>
        </w:tc>
        <w:tc>
          <w:tcPr>
            <w:tcW w:w="992" w:type="dxa"/>
            <w:tcBorders>
              <w:top w:val="nil"/>
              <w:left w:val="nil"/>
              <w:bottom w:val="nil"/>
              <w:right w:val="nil"/>
            </w:tcBorders>
            <w:shd w:val="clear" w:color="000000" w:fill="FFFFFF"/>
            <w:noWrap/>
            <w:vAlign w:val="bottom"/>
          </w:tcPr>
          <w:p w14:paraId="749E136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(1 758)</w:t>
            </w:r>
          </w:p>
        </w:tc>
        <w:tc>
          <w:tcPr>
            <w:tcW w:w="992" w:type="dxa"/>
            <w:tcBorders>
              <w:top w:val="nil"/>
              <w:left w:val="nil"/>
              <w:bottom w:val="nil"/>
              <w:right w:val="nil"/>
            </w:tcBorders>
            <w:shd w:val="clear" w:color="000000" w:fill="FFFFFF"/>
            <w:vAlign w:val="bottom"/>
          </w:tcPr>
          <w:p w14:paraId="6F5C06A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(1 270)</w:t>
            </w:r>
          </w:p>
        </w:tc>
        <w:tc>
          <w:tcPr>
            <w:tcW w:w="1134" w:type="dxa"/>
            <w:tcBorders>
              <w:top w:val="nil"/>
              <w:left w:val="nil"/>
              <w:bottom w:val="nil"/>
              <w:right w:val="nil"/>
            </w:tcBorders>
            <w:shd w:val="clear" w:color="auto" w:fill="auto"/>
            <w:vAlign w:val="bottom"/>
          </w:tcPr>
          <w:p w14:paraId="387713A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1 756</w:t>
            </w:r>
          </w:p>
        </w:tc>
      </w:tr>
      <w:tr w:rsidR="00865B3C" w:rsidRPr="00865B3C" w14:paraId="70A309E0" w14:textId="77777777" w:rsidTr="00865B3C">
        <w:trPr>
          <w:trHeight w:val="113"/>
        </w:trPr>
        <w:tc>
          <w:tcPr>
            <w:tcW w:w="5671" w:type="dxa"/>
            <w:tcBorders>
              <w:top w:val="nil"/>
              <w:left w:val="nil"/>
              <w:bottom w:val="nil"/>
              <w:right w:val="nil"/>
            </w:tcBorders>
            <w:shd w:val="clear" w:color="auto" w:fill="FFFFFF"/>
            <w:noWrap/>
            <w:vAlign w:val="center"/>
          </w:tcPr>
          <w:p w14:paraId="7AEDF0DF"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Zajišťovací deriváty se zápornou reálnou hodnotou</w:t>
            </w:r>
          </w:p>
        </w:tc>
        <w:tc>
          <w:tcPr>
            <w:tcW w:w="992" w:type="dxa"/>
            <w:tcBorders>
              <w:top w:val="nil"/>
              <w:left w:val="nil"/>
              <w:bottom w:val="nil"/>
              <w:right w:val="nil"/>
            </w:tcBorders>
            <w:shd w:val="clear" w:color="000000" w:fill="FFFFFF"/>
            <w:noWrap/>
            <w:vAlign w:val="bottom"/>
          </w:tcPr>
          <w:p w14:paraId="153E972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2 971</w:t>
            </w:r>
          </w:p>
        </w:tc>
        <w:tc>
          <w:tcPr>
            <w:tcW w:w="992" w:type="dxa"/>
            <w:tcBorders>
              <w:top w:val="nil"/>
              <w:left w:val="nil"/>
              <w:bottom w:val="nil"/>
              <w:right w:val="nil"/>
            </w:tcBorders>
            <w:shd w:val="clear" w:color="000000" w:fill="FFFFFF"/>
            <w:noWrap/>
            <w:vAlign w:val="bottom"/>
          </w:tcPr>
          <w:p w14:paraId="1D3A25B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3 204</w:t>
            </w:r>
          </w:p>
        </w:tc>
        <w:tc>
          <w:tcPr>
            <w:tcW w:w="992" w:type="dxa"/>
            <w:tcBorders>
              <w:top w:val="nil"/>
              <w:left w:val="nil"/>
              <w:bottom w:val="nil"/>
              <w:right w:val="nil"/>
            </w:tcBorders>
            <w:shd w:val="clear" w:color="000000" w:fill="FFFFFF"/>
            <w:vAlign w:val="bottom"/>
          </w:tcPr>
          <w:p w14:paraId="5AC58FD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2 668</w:t>
            </w:r>
          </w:p>
        </w:tc>
        <w:tc>
          <w:tcPr>
            <w:tcW w:w="1134" w:type="dxa"/>
            <w:tcBorders>
              <w:top w:val="nil"/>
              <w:left w:val="nil"/>
              <w:bottom w:val="nil"/>
              <w:right w:val="nil"/>
            </w:tcBorders>
            <w:shd w:val="clear" w:color="auto" w:fill="auto"/>
            <w:vAlign w:val="bottom"/>
          </w:tcPr>
          <w:p w14:paraId="682BBA9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4 065</w:t>
            </w:r>
          </w:p>
        </w:tc>
      </w:tr>
      <w:tr w:rsidR="00865B3C" w:rsidRPr="00865B3C" w14:paraId="5FF8E6C7" w14:textId="77777777" w:rsidTr="00865B3C">
        <w:trPr>
          <w:trHeight w:val="20"/>
        </w:trPr>
        <w:tc>
          <w:tcPr>
            <w:tcW w:w="5671" w:type="dxa"/>
            <w:tcBorders>
              <w:top w:val="nil"/>
              <w:left w:val="nil"/>
              <w:bottom w:val="nil"/>
              <w:right w:val="nil"/>
            </w:tcBorders>
            <w:shd w:val="clear" w:color="auto" w:fill="FFFFFF"/>
            <w:noWrap/>
            <w:vAlign w:val="center"/>
          </w:tcPr>
          <w:p w14:paraId="39BEC558"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Rezervy</w:t>
            </w:r>
          </w:p>
        </w:tc>
        <w:tc>
          <w:tcPr>
            <w:tcW w:w="992" w:type="dxa"/>
            <w:tcBorders>
              <w:top w:val="nil"/>
              <w:left w:val="nil"/>
              <w:bottom w:val="nil"/>
              <w:right w:val="nil"/>
            </w:tcBorders>
            <w:shd w:val="clear" w:color="000000" w:fill="FFFFFF"/>
            <w:noWrap/>
            <w:vAlign w:val="bottom"/>
          </w:tcPr>
          <w:p w14:paraId="66A59B4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1047</w:t>
            </w:r>
          </w:p>
        </w:tc>
        <w:tc>
          <w:tcPr>
            <w:tcW w:w="992" w:type="dxa"/>
            <w:tcBorders>
              <w:top w:val="nil"/>
              <w:left w:val="nil"/>
              <w:bottom w:val="nil"/>
              <w:right w:val="nil"/>
            </w:tcBorders>
            <w:shd w:val="clear" w:color="000000" w:fill="FFFFFF"/>
            <w:noWrap/>
            <w:vAlign w:val="bottom"/>
          </w:tcPr>
          <w:p w14:paraId="7A42081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1 306</w:t>
            </w:r>
          </w:p>
        </w:tc>
        <w:tc>
          <w:tcPr>
            <w:tcW w:w="992" w:type="dxa"/>
            <w:tcBorders>
              <w:top w:val="nil"/>
              <w:left w:val="nil"/>
              <w:bottom w:val="nil"/>
              <w:right w:val="nil"/>
            </w:tcBorders>
            <w:shd w:val="clear" w:color="000000" w:fill="FFFFFF"/>
            <w:vAlign w:val="bottom"/>
          </w:tcPr>
          <w:p w14:paraId="523D67B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1 059</w:t>
            </w:r>
          </w:p>
        </w:tc>
        <w:tc>
          <w:tcPr>
            <w:tcW w:w="1134" w:type="dxa"/>
            <w:tcBorders>
              <w:top w:val="nil"/>
              <w:left w:val="nil"/>
              <w:bottom w:val="nil"/>
              <w:right w:val="nil"/>
            </w:tcBorders>
            <w:shd w:val="clear" w:color="auto" w:fill="auto"/>
            <w:vAlign w:val="bottom"/>
          </w:tcPr>
          <w:p w14:paraId="18C1DAF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871</w:t>
            </w:r>
          </w:p>
        </w:tc>
      </w:tr>
      <w:tr w:rsidR="00865B3C" w:rsidRPr="00865B3C" w14:paraId="42AE09C6" w14:textId="77777777" w:rsidTr="00865B3C">
        <w:trPr>
          <w:trHeight w:val="20"/>
        </w:trPr>
        <w:tc>
          <w:tcPr>
            <w:tcW w:w="5671" w:type="dxa"/>
            <w:tcBorders>
              <w:top w:val="nil"/>
              <w:left w:val="nil"/>
              <w:right w:val="nil"/>
            </w:tcBorders>
            <w:shd w:val="clear" w:color="auto" w:fill="FFFFFF"/>
            <w:noWrap/>
            <w:vAlign w:val="center"/>
          </w:tcPr>
          <w:p w14:paraId="6ABA45F8"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Závazek ze splatné daně</w:t>
            </w:r>
          </w:p>
        </w:tc>
        <w:tc>
          <w:tcPr>
            <w:tcW w:w="992" w:type="dxa"/>
            <w:tcBorders>
              <w:top w:val="nil"/>
              <w:left w:val="nil"/>
              <w:bottom w:val="nil"/>
              <w:right w:val="nil"/>
            </w:tcBorders>
            <w:shd w:val="clear" w:color="000000" w:fill="FFFFFF"/>
            <w:noWrap/>
            <w:vAlign w:val="bottom"/>
          </w:tcPr>
          <w:p w14:paraId="071B279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253</w:t>
            </w:r>
          </w:p>
        </w:tc>
        <w:tc>
          <w:tcPr>
            <w:tcW w:w="992" w:type="dxa"/>
            <w:tcBorders>
              <w:top w:val="nil"/>
              <w:left w:val="nil"/>
              <w:bottom w:val="nil"/>
              <w:right w:val="nil"/>
            </w:tcBorders>
            <w:shd w:val="clear" w:color="000000" w:fill="FFFFFF"/>
            <w:noWrap/>
            <w:vAlign w:val="bottom"/>
          </w:tcPr>
          <w:p w14:paraId="37CAA64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35</w:t>
            </w:r>
          </w:p>
        </w:tc>
        <w:tc>
          <w:tcPr>
            <w:tcW w:w="992" w:type="dxa"/>
            <w:tcBorders>
              <w:top w:val="nil"/>
              <w:left w:val="nil"/>
              <w:bottom w:val="nil"/>
              <w:right w:val="nil"/>
            </w:tcBorders>
            <w:shd w:val="clear" w:color="000000" w:fill="FFFFFF"/>
            <w:vAlign w:val="bottom"/>
          </w:tcPr>
          <w:p w14:paraId="745A6E4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147</w:t>
            </w:r>
          </w:p>
        </w:tc>
        <w:tc>
          <w:tcPr>
            <w:tcW w:w="1134" w:type="dxa"/>
            <w:tcBorders>
              <w:top w:val="nil"/>
              <w:left w:val="nil"/>
              <w:bottom w:val="nil"/>
              <w:right w:val="nil"/>
            </w:tcBorders>
            <w:shd w:val="clear" w:color="auto" w:fill="auto"/>
            <w:vAlign w:val="bottom"/>
          </w:tcPr>
          <w:p w14:paraId="4C465EC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w:t>
            </w:r>
          </w:p>
        </w:tc>
      </w:tr>
      <w:tr w:rsidR="00865B3C" w:rsidRPr="00865B3C" w14:paraId="5E8C108C" w14:textId="77777777" w:rsidTr="00865B3C">
        <w:trPr>
          <w:trHeight w:val="20"/>
        </w:trPr>
        <w:tc>
          <w:tcPr>
            <w:tcW w:w="5671" w:type="dxa"/>
            <w:tcBorders>
              <w:top w:val="nil"/>
              <w:left w:val="nil"/>
              <w:right w:val="nil"/>
            </w:tcBorders>
            <w:shd w:val="clear" w:color="auto" w:fill="FFFFFF"/>
            <w:noWrap/>
            <w:vAlign w:val="center"/>
          </w:tcPr>
          <w:p w14:paraId="29B9CDD8"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Odložený daňový závazek</w:t>
            </w:r>
          </w:p>
        </w:tc>
        <w:tc>
          <w:tcPr>
            <w:tcW w:w="992" w:type="dxa"/>
            <w:tcBorders>
              <w:top w:val="nil"/>
              <w:left w:val="nil"/>
              <w:bottom w:val="nil"/>
              <w:right w:val="nil"/>
            </w:tcBorders>
            <w:shd w:val="clear" w:color="000000" w:fill="FFFFFF"/>
            <w:noWrap/>
            <w:vAlign w:val="bottom"/>
          </w:tcPr>
          <w:p w14:paraId="581A93E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14</w:t>
            </w:r>
          </w:p>
        </w:tc>
        <w:tc>
          <w:tcPr>
            <w:tcW w:w="992" w:type="dxa"/>
            <w:tcBorders>
              <w:top w:val="nil"/>
              <w:left w:val="nil"/>
              <w:bottom w:val="nil"/>
              <w:right w:val="nil"/>
            </w:tcBorders>
            <w:shd w:val="clear" w:color="000000" w:fill="FFFFFF"/>
            <w:noWrap/>
            <w:vAlign w:val="bottom"/>
          </w:tcPr>
          <w:p w14:paraId="0EAA281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36</w:t>
            </w:r>
          </w:p>
        </w:tc>
        <w:tc>
          <w:tcPr>
            <w:tcW w:w="992" w:type="dxa"/>
            <w:tcBorders>
              <w:top w:val="nil"/>
              <w:left w:val="nil"/>
              <w:bottom w:val="nil"/>
              <w:right w:val="nil"/>
            </w:tcBorders>
            <w:shd w:val="clear" w:color="000000" w:fill="FFFFFF"/>
            <w:vAlign w:val="bottom"/>
          </w:tcPr>
          <w:p w14:paraId="30CFF1C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13</w:t>
            </w:r>
          </w:p>
        </w:tc>
        <w:tc>
          <w:tcPr>
            <w:tcW w:w="1134" w:type="dxa"/>
            <w:tcBorders>
              <w:top w:val="nil"/>
              <w:left w:val="nil"/>
              <w:bottom w:val="nil"/>
              <w:right w:val="nil"/>
            </w:tcBorders>
            <w:shd w:val="clear" w:color="auto" w:fill="auto"/>
            <w:vAlign w:val="bottom"/>
          </w:tcPr>
          <w:p w14:paraId="347A9AA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40</w:t>
            </w:r>
          </w:p>
        </w:tc>
      </w:tr>
      <w:tr w:rsidR="00865B3C" w:rsidRPr="00865B3C" w14:paraId="0F2BB6D6" w14:textId="77777777" w:rsidTr="00865B3C">
        <w:trPr>
          <w:trHeight w:val="20"/>
        </w:trPr>
        <w:tc>
          <w:tcPr>
            <w:tcW w:w="5671" w:type="dxa"/>
            <w:tcBorders>
              <w:top w:val="nil"/>
              <w:left w:val="nil"/>
              <w:bottom w:val="nil"/>
              <w:right w:val="nil"/>
            </w:tcBorders>
            <w:shd w:val="clear" w:color="auto" w:fill="FFFFFF"/>
            <w:noWrap/>
            <w:vAlign w:val="center"/>
          </w:tcPr>
          <w:p w14:paraId="3E63ABD1"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Ostatní pasiva</w:t>
            </w:r>
          </w:p>
        </w:tc>
        <w:tc>
          <w:tcPr>
            <w:tcW w:w="992" w:type="dxa"/>
            <w:tcBorders>
              <w:top w:val="nil"/>
              <w:left w:val="nil"/>
              <w:bottom w:val="nil"/>
              <w:right w:val="nil"/>
            </w:tcBorders>
            <w:shd w:val="clear" w:color="000000" w:fill="FFFFFF"/>
            <w:noWrap/>
            <w:vAlign w:val="bottom"/>
          </w:tcPr>
          <w:p w14:paraId="10C34C6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826</w:t>
            </w:r>
          </w:p>
        </w:tc>
        <w:tc>
          <w:tcPr>
            <w:tcW w:w="992" w:type="dxa"/>
            <w:tcBorders>
              <w:top w:val="nil"/>
              <w:left w:val="nil"/>
              <w:bottom w:val="nil"/>
              <w:right w:val="nil"/>
            </w:tcBorders>
            <w:shd w:val="clear" w:color="000000" w:fill="FFFFFF"/>
            <w:noWrap/>
            <w:vAlign w:val="bottom"/>
          </w:tcPr>
          <w:p w14:paraId="2F57500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831</w:t>
            </w:r>
          </w:p>
        </w:tc>
        <w:tc>
          <w:tcPr>
            <w:tcW w:w="992" w:type="dxa"/>
            <w:tcBorders>
              <w:top w:val="nil"/>
              <w:left w:val="nil"/>
              <w:bottom w:val="nil"/>
              <w:right w:val="nil"/>
            </w:tcBorders>
            <w:shd w:val="clear" w:color="000000" w:fill="FFFFFF"/>
            <w:vAlign w:val="bottom"/>
          </w:tcPr>
          <w:p w14:paraId="43A60E5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938</w:t>
            </w:r>
          </w:p>
        </w:tc>
        <w:tc>
          <w:tcPr>
            <w:tcW w:w="1134" w:type="dxa"/>
            <w:tcBorders>
              <w:top w:val="nil"/>
              <w:left w:val="nil"/>
              <w:bottom w:val="nil"/>
              <w:right w:val="nil"/>
            </w:tcBorders>
            <w:shd w:val="clear" w:color="auto" w:fill="auto"/>
            <w:vAlign w:val="bottom"/>
          </w:tcPr>
          <w:p w14:paraId="5481B5E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1 548</w:t>
            </w:r>
          </w:p>
        </w:tc>
      </w:tr>
      <w:tr w:rsidR="00865B3C" w:rsidRPr="00865B3C" w14:paraId="7B7EA75C" w14:textId="77777777" w:rsidTr="00865B3C">
        <w:trPr>
          <w:trHeight w:val="54"/>
        </w:trPr>
        <w:tc>
          <w:tcPr>
            <w:tcW w:w="5671" w:type="dxa"/>
            <w:tcBorders>
              <w:top w:val="single" w:sz="8" w:space="0" w:color="auto"/>
              <w:left w:val="nil"/>
              <w:bottom w:val="single" w:sz="8" w:space="0" w:color="auto"/>
              <w:right w:val="nil"/>
            </w:tcBorders>
            <w:shd w:val="clear" w:color="auto" w:fill="FFFF99"/>
            <w:noWrap/>
            <w:vAlign w:val="center"/>
          </w:tcPr>
          <w:p w14:paraId="1B11DC67" w14:textId="77777777" w:rsidR="00865B3C" w:rsidRPr="00865B3C" w:rsidRDefault="00865B3C" w:rsidP="00856149">
            <w:pPr>
              <w:spacing w:after="0" w:line="276" w:lineRule="auto"/>
              <w:ind w:left="-66"/>
              <w:jc w:val="both"/>
              <w:rPr>
                <w:rFonts w:eastAsia="Times New Roman" w:cs="Times New Roman"/>
                <w:b/>
                <w:bCs/>
                <w:sz w:val="20"/>
                <w:szCs w:val="20"/>
              </w:rPr>
            </w:pPr>
            <w:r w:rsidRPr="00865B3C">
              <w:rPr>
                <w:rFonts w:eastAsia="Times New Roman" w:cs="Times New Roman"/>
                <w:b/>
                <w:bCs/>
                <w:sz w:val="20"/>
                <w:szCs w:val="20"/>
              </w:rPr>
              <w:t>PASIVA CELKEM</w:t>
            </w:r>
          </w:p>
        </w:tc>
        <w:tc>
          <w:tcPr>
            <w:tcW w:w="992" w:type="dxa"/>
            <w:tcBorders>
              <w:top w:val="single" w:sz="8" w:space="0" w:color="auto"/>
              <w:left w:val="nil"/>
              <w:bottom w:val="single" w:sz="8" w:space="0" w:color="auto"/>
              <w:right w:val="nil"/>
            </w:tcBorders>
            <w:shd w:val="clear" w:color="000000" w:fill="FFFF99"/>
            <w:noWrap/>
            <w:vAlign w:val="bottom"/>
          </w:tcPr>
          <w:p w14:paraId="174118C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310 687</w:t>
            </w:r>
          </w:p>
        </w:tc>
        <w:tc>
          <w:tcPr>
            <w:tcW w:w="992" w:type="dxa"/>
            <w:tcBorders>
              <w:top w:val="single" w:sz="8" w:space="0" w:color="auto"/>
              <w:left w:val="nil"/>
              <w:bottom w:val="single" w:sz="8" w:space="0" w:color="auto"/>
              <w:right w:val="nil"/>
            </w:tcBorders>
            <w:shd w:val="clear" w:color="000000" w:fill="FFFF99"/>
            <w:noWrap/>
            <w:vAlign w:val="bottom"/>
          </w:tcPr>
          <w:p w14:paraId="3760A7C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333 782</w:t>
            </w:r>
          </w:p>
        </w:tc>
        <w:tc>
          <w:tcPr>
            <w:tcW w:w="992" w:type="dxa"/>
            <w:tcBorders>
              <w:top w:val="single" w:sz="8" w:space="0" w:color="auto"/>
              <w:left w:val="nil"/>
              <w:bottom w:val="single" w:sz="8" w:space="0" w:color="auto"/>
              <w:right w:val="nil"/>
            </w:tcBorders>
            <w:shd w:val="clear" w:color="000000" w:fill="FFFF99"/>
            <w:vAlign w:val="bottom"/>
          </w:tcPr>
          <w:p w14:paraId="1211E93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338 012</w:t>
            </w:r>
          </w:p>
        </w:tc>
        <w:tc>
          <w:tcPr>
            <w:tcW w:w="1134" w:type="dxa"/>
            <w:tcBorders>
              <w:top w:val="single" w:sz="8" w:space="0" w:color="auto"/>
              <w:left w:val="nil"/>
              <w:bottom w:val="nil"/>
              <w:right w:val="nil"/>
            </w:tcBorders>
            <w:shd w:val="clear" w:color="auto" w:fill="FFFF99"/>
            <w:vAlign w:val="bottom"/>
          </w:tcPr>
          <w:p w14:paraId="542DC8D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380 347</w:t>
            </w:r>
          </w:p>
        </w:tc>
      </w:tr>
      <w:tr w:rsidR="00865B3C" w:rsidRPr="00865B3C" w14:paraId="52B62D17" w14:textId="77777777" w:rsidTr="00865B3C">
        <w:trPr>
          <w:trHeight w:val="20"/>
        </w:trPr>
        <w:tc>
          <w:tcPr>
            <w:tcW w:w="5671" w:type="dxa"/>
            <w:tcBorders>
              <w:top w:val="single" w:sz="8" w:space="0" w:color="auto"/>
              <w:left w:val="nil"/>
              <w:bottom w:val="nil"/>
              <w:right w:val="nil"/>
            </w:tcBorders>
            <w:shd w:val="clear" w:color="auto" w:fill="FFFFFF"/>
            <w:noWrap/>
            <w:vAlign w:val="center"/>
          </w:tcPr>
          <w:p w14:paraId="44E76AA9" w14:textId="77777777" w:rsidR="00865B3C" w:rsidRPr="00865B3C" w:rsidRDefault="00865B3C" w:rsidP="00856149">
            <w:pPr>
              <w:spacing w:after="0" w:line="276" w:lineRule="auto"/>
              <w:ind w:left="-66"/>
              <w:jc w:val="both"/>
              <w:rPr>
                <w:rFonts w:eastAsia="Times New Roman" w:cs="Times New Roman"/>
                <w:b/>
                <w:bCs/>
                <w:color w:val="000000"/>
                <w:sz w:val="20"/>
                <w:szCs w:val="20"/>
              </w:rPr>
            </w:pPr>
            <w:r w:rsidRPr="00865B3C">
              <w:rPr>
                <w:rFonts w:eastAsia="Times New Roman" w:cs="Times New Roman"/>
                <w:b/>
                <w:bCs/>
                <w:color w:val="000000"/>
                <w:sz w:val="20"/>
                <w:szCs w:val="20"/>
              </w:rPr>
              <w:t>VLASTNÍ KAPITÁL</w:t>
            </w:r>
          </w:p>
        </w:tc>
        <w:tc>
          <w:tcPr>
            <w:tcW w:w="992" w:type="dxa"/>
            <w:tcBorders>
              <w:top w:val="nil"/>
              <w:left w:val="nil"/>
              <w:bottom w:val="nil"/>
              <w:right w:val="nil"/>
            </w:tcBorders>
            <w:shd w:val="clear" w:color="000000" w:fill="FFFFFF"/>
            <w:noWrap/>
            <w:vAlign w:val="bottom"/>
          </w:tcPr>
          <w:p w14:paraId="7CF3A125"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FF0000"/>
                <w:sz w:val="20"/>
                <w:szCs w:val="20"/>
              </w:rPr>
            </w:pPr>
          </w:p>
        </w:tc>
        <w:tc>
          <w:tcPr>
            <w:tcW w:w="992" w:type="dxa"/>
            <w:tcBorders>
              <w:top w:val="nil"/>
              <w:left w:val="nil"/>
              <w:bottom w:val="nil"/>
              <w:right w:val="nil"/>
            </w:tcBorders>
            <w:shd w:val="clear" w:color="000000" w:fill="FFFFFF"/>
            <w:noWrap/>
            <w:vAlign w:val="bottom"/>
          </w:tcPr>
          <w:p w14:paraId="2979FAC9"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FF0000"/>
                <w:sz w:val="20"/>
                <w:szCs w:val="20"/>
              </w:rPr>
            </w:pPr>
            <w:r w:rsidRPr="00865B3C">
              <w:rPr>
                <w:rFonts w:eastAsia="Times New Roman" w:cs="Times New Roman"/>
                <w:color w:val="FF0000"/>
                <w:sz w:val="20"/>
                <w:szCs w:val="20"/>
              </w:rPr>
              <w:t> </w:t>
            </w:r>
          </w:p>
        </w:tc>
        <w:tc>
          <w:tcPr>
            <w:tcW w:w="992" w:type="dxa"/>
            <w:tcBorders>
              <w:top w:val="nil"/>
              <w:left w:val="nil"/>
              <w:bottom w:val="nil"/>
              <w:right w:val="nil"/>
            </w:tcBorders>
            <w:shd w:val="clear" w:color="000000" w:fill="FFFFFF"/>
            <w:vAlign w:val="bottom"/>
          </w:tcPr>
          <w:p w14:paraId="4796ABB0"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FF0000"/>
                <w:sz w:val="20"/>
                <w:szCs w:val="20"/>
              </w:rPr>
            </w:pPr>
            <w:r w:rsidRPr="00865B3C">
              <w:rPr>
                <w:rFonts w:eastAsia="Times New Roman" w:cs="Times New Roman"/>
                <w:color w:val="FF0000"/>
                <w:sz w:val="20"/>
                <w:szCs w:val="20"/>
              </w:rPr>
              <w:t> </w:t>
            </w:r>
          </w:p>
        </w:tc>
        <w:tc>
          <w:tcPr>
            <w:tcW w:w="1134" w:type="dxa"/>
            <w:tcBorders>
              <w:top w:val="single" w:sz="8" w:space="0" w:color="auto"/>
              <w:left w:val="nil"/>
              <w:bottom w:val="nil"/>
              <w:right w:val="nil"/>
            </w:tcBorders>
            <w:shd w:val="clear" w:color="auto" w:fill="auto"/>
            <w:vAlign w:val="bottom"/>
          </w:tcPr>
          <w:p w14:paraId="7A456164"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FF0000"/>
                <w:sz w:val="20"/>
                <w:szCs w:val="20"/>
              </w:rPr>
            </w:pPr>
            <w:r w:rsidRPr="00865B3C">
              <w:rPr>
                <w:rFonts w:eastAsia="Times New Roman" w:cs="Times New Roman"/>
                <w:color w:val="FF0000"/>
                <w:sz w:val="20"/>
                <w:szCs w:val="20"/>
              </w:rPr>
              <w:t> </w:t>
            </w:r>
          </w:p>
        </w:tc>
      </w:tr>
      <w:tr w:rsidR="00865B3C" w:rsidRPr="00865B3C" w14:paraId="0AF6CFCC" w14:textId="77777777" w:rsidTr="00865B3C">
        <w:trPr>
          <w:trHeight w:val="20"/>
        </w:trPr>
        <w:tc>
          <w:tcPr>
            <w:tcW w:w="5671" w:type="dxa"/>
            <w:tcBorders>
              <w:top w:val="nil"/>
              <w:left w:val="nil"/>
              <w:bottom w:val="nil"/>
              <w:right w:val="nil"/>
            </w:tcBorders>
            <w:shd w:val="clear" w:color="auto" w:fill="FFFFFF"/>
            <w:noWrap/>
            <w:vAlign w:val="bottom"/>
          </w:tcPr>
          <w:p w14:paraId="31ECBD9F" w14:textId="77777777" w:rsidR="00865B3C" w:rsidRPr="00865B3C" w:rsidRDefault="00865B3C" w:rsidP="00856149">
            <w:pPr>
              <w:spacing w:after="0" w:line="276" w:lineRule="auto"/>
              <w:ind w:left="-66"/>
              <w:jc w:val="both"/>
              <w:rPr>
                <w:rFonts w:eastAsia="Times New Roman" w:cs="Times New Roman"/>
                <w:color w:val="000000"/>
                <w:sz w:val="20"/>
                <w:szCs w:val="20"/>
              </w:rPr>
            </w:pPr>
            <w:r w:rsidRPr="00865B3C">
              <w:rPr>
                <w:rFonts w:eastAsia="Times New Roman" w:cs="Times New Roman"/>
                <w:color w:val="000000"/>
                <w:sz w:val="20"/>
                <w:szCs w:val="20"/>
              </w:rPr>
              <w:lastRenderedPageBreak/>
              <w:t>Základní kapitál</w:t>
            </w:r>
          </w:p>
        </w:tc>
        <w:tc>
          <w:tcPr>
            <w:tcW w:w="992" w:type="dxa"/>
            <w:tcBorders>
              <w:top w:val="nil"/>
              <w:left w:val="nil"/>
              <w:bottom w:val="nil"/>
              <w:right w:val="nil"/>
            </w:tcBorders>
            <w:shd w:val="clear" w:color="auto" w:fill="auto"/>
            <w:noWrap/>
            <w:vAlign w:val="bottom"/>
          </w:tcPr>
          <w:p w14:paraId="623356A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11 061</w:t>
            </w:r>
          </w:p>
        </w:tc>
        <w:tc>
          <w:tcPr>
            <w:tcW w:w="992" w:type="dxa"/>
            <w:tcBorders>
              <w:top w:val="nil"/>
              <w:left w:val="nil"/>
              <w:bottom w:val="nil"/>
              <w:right w:val="nil"/>
            </w:tcBorders>
            <w:shd w:val="clear" w:color="auto" w:fill="auto"/>
            <w:noWrap/>
            <w:vAlign w:val="bottom"/>
          </w:tcPr>
          <w:p w14:paraId="6691037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11 061</w:t>
            </w:r>
          </w:p>
        </w:tc>
        <w:tc>
          <w:tcPr>
            <w:tcW w:w="992" w:type="dxa"/>
            <w:tcBorders>
              <w:top w:val="nil"/>
              <w:left w:val="nil"/>
              <w:bottom w:val="nil"/>
              <w:right w:val="nil"/>
            </w:tcBorders>
            <w:shd w:val="clear" w:color="auto" w:fill="auto"/>
            <w:vAlign w:val="bottom"/>
          </w:tcPr>
          <w:p w14:paraId="643FA7A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11 061</w:t>
            </w:r>
          </w:p>
        </w:tc>
        <w:tc>
          <w:tcPr>
            <w:tcW w:w="1134" w:type="dxa"/>
            <w:tcBorders>
              <w:top w:val="nil"/>
              <w:left w:val="nil"/>
              <w:bottom w:val="nil"/>
              <w:right w:val="nil"/>
            </w:tcBorders>
            <w:shd w:val="clear" w:color="auto" w:fill="auto"/>
            <w:vAlign w:val="bottom"/>
          </w:tcPr>
          <w:p w14:paraId="79108CC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11 061</w:t>
            </w:r>
          </w:p>
        </w:tc>
      </w:tr>
      <w:tr w:rsidR="00865B3C" w:rsidRPr="00865B3C" w14:paraId="07896E03" w14:textId="77777777" w:rsidTr="00865B3C">
        <w:trPr>
          <w:trHeight w:val="20"/>
        </w:trPr>
        <w:tc>
          <w:tcPr>
            <w:tcW w:w="5671" w:type="dxa"/>
            <w:tcBorders>
              <w:top w:val="nil"/>
              <w:left w:val="nil"/>
              <w:bottom w:val="nil"/>
              <w:right w:val="nil"/>
            </w:tcBorders>
            <w:shd w:val="clear" w:color="auto" w:fill="FFFFFF"/>
            <w:noWrap/>
            <w:vAlign w:val="bottom"/>
          </w:tcPr>
          <w:p w14:paraId="398E7C7B" w14:textId="77777777" w:rsidR="00865B3C" w:rsidRPr="00865B3C" w:rsidRDefault="00865B3C" w:rsidP="00856149">
            <w:pPr>
              <w:spacing w:after="0" w:line="276" w:lineRule="auto"/>
              <w:ind w:left="-66"/>
              <w:jc w:val="both"/>
              <w:rPr>
                <w:rFonts w:eastAsia="Times New Roman" w:cs="Times New Roman"/>
                <w:color w:val="000000"/>
                <w:sz w:val="20"/>
                <w:szCs w:val="20"/>
              </w:rPr>
            </w:pPr>
            <w:r w:rsidRPr="00865B3C">
              <w:rPr>
                <w:rFonts w:eastAsia="Times New Roman" w:cs="Times New Roman"/>
                <w:color w:val="000000"/>
                <w:sz w:val="20"/>
                <w:szCs w:val="20"/>
              </w:rPr>
              <w:t>Rezervní fond</w:t>
            </w:r>
          </w:p>
        </w:tc>
        <w:tc>
          <w:tcPr>
            <w:tcW w:w="992" w:type="dxa"/>
            <w:tcBorders>
              <w:top w:val="nil"/>
              <w:left w:val="nil"/>
              <w:bottom w:val="nil"/>
              <w:right w:val="nil"/>
            </w:tcBorders>
            <w:shd w:val="clear" w:color="auto" w:fill="auto"/>
            <w:noWrap/>
            <w:vAlign w:val="bottom"/>
          </w:tcPr>
          <w:p w14:paraId="2A4A5D71"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694</w:t>
            </w:r>
          </w:p>
        </w:tc>
        <w:tc>
          <w:tcPr>
            <w:tcW w:w="992" w:type="dxa"/>
            <w:tcBorders>
              <w:top w:val="nil"/>
              <w:left w:val="nil"/>
              <w:bottom w:val="nil"/>
              <w:right w:val="nil"/>
            </w:tcBorders>
            <w:shd w:val="clear" w:color="auto" w:fill="auto"/>
            <w:noWrap/>
            <w:vAlign w:val="bottom"/>
          </w:tcPr>
          <w:p w14:paraId="01EF7AF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694</w:t>
            </w:r>
          </w:p>
        </w:tc>
        <w:tc>
          <w:tcPr>
            <w:tcW w:w="992" w:type="dxa"/>
            <w:tcBorders>
              <w:top w:val="nil"/>
              <w:left w:val="nil"/>
              <w:bottom w:val="nil"/>
              <w:right w:val="nil"/>
            </w:tcBorders>
            <w:shd w:val="clear" w:color="auto" w:fill="auto"/>
            <w:vAlign w:val="bottom"/>
          </w:tcPr>
          <w:p w14:paraId="5B4D111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694</w:t>
            </w:r>
          </w:p>
        </w:tc>
        <w:tc>
          <w:tcPr>
            <w:tcW w:w="1134" w:type="dxa"/>
            <w:tcBorders>
              <w:top w:val="nil"/>
              <w:left w:val="nil"/>
              <w:bottom w:val="nil"/>
              <w:right w:val="nil"/>
            </w:tcBorders>
            <w:shd w:val="clear" w:color="auto" w:fill="auto"/>
            <w:vAlign w:val="bottom"/>
          </w:tcPr>
          <w:p w14:paraId="3694DA5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694</w:t>
            </w:r>
          </w:p>
        </w:tc>
      </w:tr>
      <w:tr w:rsidR="00865B3C" w:rsidRPr="00865B3C" w14:paraId="0FABF6F3" w14:textId="77777777" w:rsidTr="00865B3C">
        <w:trPr>
          <w:trHeight w:val="20"/>
        </w:trPr>
        <w:tc>
          <w:tcPr>
            <w:tcW w:w="5671" w:type="dxa"/>
            <w:tcBorders>
              <w:top w:val="nil"/>
              <w:left w:val="nil"/>
              <w:bottom w:val="nil"/>
              <w:right w:val="nil"/>
            </w:tcBorders>
            <w:shd w:val="clear" w:color="auto" w:fill="FFFFFF"/>
            <w:noWrap/>
            <w:vAlign w:val="bottom"/>
          </w:tcPr>
          <w:p w14:paraId="3E4E2F39" w14:textId="77777777" w:rsidR="00865B3C" w:rsidRPr="00865B3C" w:rsidRDefault="00865B3C" w:rsidP="00856149">
            <w:pPr>
              <w:spacing w:after="0" w:line="276" w:lineRule="auto"/>
              <w:ind w:left="-66"/>
              <w:jc w:val="both"/>
              <w:rPr>
                <w:rFonts w:eastAsia="Times New Roman" w:cs="Times New Roman"/>
                <w:color w:val="000000"/>
                <w:sz w:val="20"/>
                <w:szCs w:val="20"/>
              </w:rPr>
            </w:pPr>
            <w:r w:rsidRPr="00865B3C">
              <w:rPr>
                <w:rFonts w:eastAsia="Times New Roman" w:cs="Times New Roman"/>
                <w:color w:val="000000"/>
                <w:sz w:val="20"/>
                <w:szCs w:val="20"/>
              </w:rPr>
              <w:t>Oceňovací rozdíly</w:t>
            </w:r>
          </w:p>
        </w:tc>
        <w:tc>
          <w:tcPr>
            <w:tcW w:w="992" w:type="dxa"/>
            <w:tcBorders>
              <w:top w:val="nil"/>
              <w:left w:val="nil"/>
              <w:bottom w:val="nil"/>
              <w:right w:val="nil"/>
            </w:tcBorders>
            <w:shd w:val="clear" w:color="auto" w:fill="auto"/>
            <w:noWrap/>
            <w:vAlign w:val="bottom"/>
          </w:tcPr>
          <w:p w14:paraId="5876782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97</w:t>
            </w:r>
          </w:p>
        </w:tc>
        <w:tc>
          <w:tcPr>
            <w:tcW w:w="992" w:type="dxa"/>
            <w:tcBorders>
              <w:top w:val="nil"/>
              <w:left w:val="nil"/>
              <w:bottom w:val="nil"/>
              <w:right w:val="nil"/>
            </w:tcBorders>
            <w:shd w:val="clear" w:color="auto" w:fill="auto"/>
            <w:noWrap/>
            <w:vAlign w:val="bottom"/>
          </w:tcPr>
          <w:p w14:paraId="53EC067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254</w:t>
            </w:r>
          </w:p>
        </w:tc>
        <w:tc>
          <w:tcPr>
            <w:tcW w:w="992" w:type="dxa"/>
            <w:tcBorders>
              <w:top w:val="nil"/>
              <w:left w:val="nil"/>
              <w:bottom w:val="nil"/>
              <w:right w:val="nil"/>
            </w:tcBorders>
            <w:shd w:val="clear" w:color="auto" w:fill="auto"/>
            <w:vAlign w:val="bottom"/>
          </w:tcPr>
          <w:p w14:paraId="20C214E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372</w:t>
            </w:r>
          </w:p>
        </w:tc>
        <w:tc>
          <w:tcPr>
            <w:tcW w:w="1134" w:type="dxa"/>
            <w:tcBorders>
              <w:top w:val="nil"/>
              <w:left w:val="nil"/>
              <w:bottom w:val="nil"/>
              <w:right w:val="nil"/>
            </w:tcBorders>
            <w:shd w:val="clear" w:color="auto" w:fill="auto"/>
            <w:vAlign w:val="bottom"/>
          </w:tcPr>
          <w:p w14:paraId="50A972F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334</w:t>
            </w:r>
          </w:p>
        </w:tc>
      </w:tr>
      <w:tr w:rsidR="00865B3C" w:rsidRPr="00865B3C" w14:paraId="616EFF4E" w14:textId="77777777" w:rsidTr="00865B3C">
        <w:trPr>
          <w:trHeight w:val="20"/>
        </w:trPr>
        <w:tc>
          <w:tcPr>
            <w:tcW w:w="5671" w:type="dxa"/>
            <w:tcBorders>
              <w:top w:val="nil"/>
              <w:left w:val="nil"/>
              <w:bottom w:val="nil"/>
              <w:right w:val="nil"/>
            </w:tcBorders>
            <w:shd w:val="clear" w:color="auto" w:fill="FFFFFF"/>
            <w:noWrap/>
            <w:vAlign w:val="bottom"/>
          </w:tcPr>
          <w:p w14:paraId="532D88DD" w14:textId="77777777" w:rsidR="00865B3C" w:rsidRPr="00865B3C" w:rsidRDefault="00865B3C" w:rsidP="00856149">
            <w:pPr>
              <w:spacing w:after="0" w:line="276" w:lineRule="auto"/>
              <w:ind w:left="-66"/>
              <w:jc w:val="both"/>
              <w:rPr>
                <w:rFonts w:eastAsia="Times New Roman" w:cs="Times New Roman"/>
                <w:color w:val="000000"/>
                <w:sz w:val="20"/>
                <w:szCs w:val="20"/>
              </w:rPr>
            </w:pPr>
            <w:r w:rsidRPr="00865B3C">
              <w:rPr>
                <w:rFonts w:eastAsia="Times New Roman" w:cs="Times New Roman"/>
                <w:color w:val="000000"/>
                <w:sz w:val="20"/>
                <w:szCs w:val="20"/>
              </w:rPr>
              <w:t xml:space="preserve">Nerozdělený zisk </w:t>
            </w:r>
          </w:p>
        </w:tc>
        <w:tc>
          <w:tcPr>
            <w:tcW w:w="992" w:type="dxa"/>
            <w:tcBorders>
              <w:top w:val="nil"/>
              <w:left w:val="nil"/>
              <w:bottom w:val="nil"/>
              <w:right w:val="nil"/>
            </w:tcBorders>
            <w:shd w:val="clear" w:color="auto" w:fill="auto"/>
            <w:noWrap/>
            <w:vAlign w:val="bottom"/>
          </w:tcPr>
          <w:p w14:paraId="14E8762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9 896</w:t>
            </w:r>
          </w:p>
        </w:tc>
        <w:tc>
          <w:tcPr>
            <w:tcW w:w="992" w:type="dxa"/>
            <w:tcBorders>
              <w:top w:val="nil"/>
              <w:left w:val="nil"/>
              <w:bottom w:val="nil"/>
              <w:right w:val="nil"/>
            </w:tcBorders>
            <w:shd w:val="clear" w:color="auto" w:fill="auto"/>
            <w:noWrap/>
            <w:vAlign w:val="bottom"/>
          </w:tcPr>
          <w:p w14:paraId="3509974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10 793</w:t>
            </w:r>
          </w:p>
        </w:tc>
        <w:tc>
          <w:tcPr>
            <w:tcW w:w="992" w:type="dxa"/>
            <w:tcBorders>
              <w:top w:val="nil"/>
              <w:left w:val="nil"/>
              <w:bottom w:val="nil"/>
              <w:right w:val="nil"/>
            </w:tcBorders>
            <w:shd w:val="clear" w:color="auto" w:fill="auto"/>
            <w:vAlign w:val="bottom"/>
          </w:tcPr>
          <w:p w14:paraId="4BFD41D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13 006</w:t>
            </w:r>
          </w:p>
        </w:tc>
        <w:tc>
          <w:tcPr>
            <w:tcW w:w="1134" w:type="dxa"/>
            <w:tcBorders>
              <w:top w:val="nil"/>
              <w:left w:val="nil"/>
              <w:bottom w:val="nil"/>
              <w:right w:val="nil"/>
            </w:tcBorders>
            <w:shd w:val="clear" w:color="auto" w:fill="auto"/>
            <w:vAlign w:val="bottom"/>
          </w:tcPr>
          <w:p w14:paraId="4DD437D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16 983</w:t>
            </w:r>
          </w:p>
        </w:tc>
      </w:tr>
      <w:tr w:rsidR="00865B3C" w:rsidRPr="00865B3C" w14:paraId="7E75A00B" w14:textId="77777777" w:rsidTr="00865B3C">
        <w:trPr>
          <w:trHeight w:val="20"/>
        </w:trPr>
        <w:tc>
          <w:tcPr>
            <w:tcW w:w="5671" w:type="dxa"/>
            <w:tcBorders>
              <w:top w:val="nil"/>
              <w:left w:val="nil"/>
              <w:bottom w:val="nil"/>
              <w:right w:val="nil"/>
            </w:tcBorders>
            <w:shd w:val="clear" w:color="auto" w:fill="FFFFFF"/>
            <w:noWrap/>
            <w:vAlign w:val="bottom"/>
          </w:tcPr>
          <w:p w14:paraId="7A45491F" w14:textId="77777777" w:rsidR="00865B3C" w:rsidRPr="00865B3C" w:rsidRDefault="00865B3C" w:rsidP="00856149">
            <w:pPr>
              <w:spacing w:after="0" w:line="276" w:lineRule="auto"/>
              <w:ind w:left="-66"/>
              <w:jc w:val="both"/>
              <w:rPr>
                <w:rFonts w:eastAsia="Times New Roman" w:cs="Times New Roman"/>
                <w:color w:val="000000"/>
                <w:sz w:val="20"/>
                <w:szCs w:val="20"/>
              </w:rPr>
            </w:pPr>
            <w:r w:rsidRPr="00865B3C">
              <w:rPr>
                <w:rFonts w:eastAsia="Times New Roman" w:cs="Times New Roman"/>
                <w:color w:val="000000"/>
                <w:sz w:val="20"/>
                <w:szCs w:val="20"/>
              </w:rPr>
              <w:t>Ostatní kapitálové nástroje</w:t>
            </w:r>
          </w:p>
        </w:tc>
        <w:tc>
          <w:tcPr>
            <w:tcW w:w="992" w:type="dxa"/>
            <w:tcBorders>
              <w:top w:val="nil"/>
              <w:left w:val="nil"/>
              <w:bottom w:val="nil"/>
              <w:right w:val="nil"/>
            </w:tcBorders>
            <w:shd w:val="clear" w:color="auto" w:fill="auto"/>
            <w:noWrap/>
            <w:vAlign w:val="bottom"/>
          </w:tcPr>
          <w:p w14:paraId="4F1318C8"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2 615</w:t>
            </w:r>
          </w:p>
        </w:tc>
        <w:tc>
          <w:tcPr>
            <w:tcW w:w="992" w:type="dxa"/>
            <w:tcBorders>
              <w:top w:val="nil"/>
              <w:left w:val="nil"/>
              <w:bottom w:val="nil"/>
              <w:right w:val="nil"/>
            </w:tcBorders>
            <w:shd w:val="clear" w:color="auto" w:fill="auto"/>
            <w:noWrap/>
            <w:vAlign w:val="bottom"/>
          </w:tcPr>
          <w:p w14:paraId="2AAA878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2 615</w:t>
            </w:r>
          </w:p>
        </w:tc>
        <w:tc>
          <w:tcPr>
            <w:tcW w:w="992" w:type="dxa"/>
            <w:tcBorders>
              <w:top w:val="nil"/>
              <w:left w:val="nil"/>
              <w:bottom w:val="nil"/>
              <w:right w:val="nil"/>
            </w:tcBorders>
            <w:shd w:val="clear" w:color="auto" w:fill="auto"/>
            <w:vAlign w:val="bottom"/>
          </w:tcPr>
          <w:p w14:paraId="6B1D00FB"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3 382</w:t>
            </w:r>
          </w:p>
        </w:tc>
        <w:tc>
          <w:tcPr>
            <w:tcW w:w="1134" w:type="dxa"/>
            <w:tcBorders>
              <w:top w:val="nil"/>
              <w:left w:val="nil"/>
              <w:bottom w:val="nil"/>
              <w:right w:val="nil"/>
            </w:tcBorders>
            <w:shd w:val="clear" w:color="auto" w:fill="auto"/>
            <w:vAlign w:val="bottom"/>
          </w:tcPr>
          <w:p w14:paraId="52BB81F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3 383</w:t>
            </w:r>
          </w:p>
        </w:tc>
      </w:tr>
      <w:tr w:rsidR="00865B3C" w:rsidRPr="00865B3C" w14:paraId="5F4B17FA" w14:textId="77777777" w:rsidTr="00865B3C">
        <w:trPr>
          <w:trHeight w:val="20"/>
        </w:trPr>
        <w:tc>
          <w:tcPr>
            <w:tcW w:w="5671" w:type="dxa"/>
            <w:tcBorders>
              <w:top w:val="nil"/>
              <w:left w:val="nil"/>
              <w:bottom w:val="single" w:sz="8" w:space="0" w:color="auto"/>
              <w:right w:val="nil"/>
            </w:tcBorders>
            <w:shd w:val="clear" w:color="auto" w:fill="FFFFFF"/>
            <w:noWrap/>
            <w:vAlign w:val="bottom"/>
          </w:tcPr>
          <w:p w14:paraId="0189B27F" w14:textId="77777777" w:rsidR="00865B3C" w:rsidRPr="00865B3C" w:rsidRDefault="00865B3C" w:rsidP="00856149">
            <w:pPr>
              <w:spacing w:after="0" w:line="276" w:lineRule="auto"/>
              <w:ind w:left="-66"/>
              <w:jc w:val="both"/>
              <w:rPr>
                <w:rFonts w:eastAsia="Times New Roman" w:cs="Times New Roman"/>
                <w:color w:val="000000"/>
                <w:sz w:val="20"/>
                <w:szCs w:val="20"/>
              </w:rPr>
            </w:pPr>
            <w:r w:rsidRPr="00865B3C">
              <w:rPr>
                <w:rFonts w:eastAsia="Times New Roman" w:cs="Times New Roman"/>
                <w:color w:val="000000"/>
                <w:sz w:val="20"/>
                <w:szCs w:val="20"/>
              </w:rPr>
              <w:t>Zisk za účetní období</w:t>
            </w:r>
          </w:p>
        </w:tc>
        <w:tc>
          <w:tcPr>
            <w:tcW w:w="992" w:type="dxa"/>
            <w:tcBorders>
              <w:top w:val="nil"/>
              <w:left w:val="nil"/>
              <w:bottom w:val="single" w:sz="8" w:space="0" w:color="auto"/>
              <w:right w:val="nil"/>
            </w:tcBorders>
            <w:shd w:val="clear" w:color="auto" w:fill="auto"/>
            <w:noWrap/>
            <w:vAlign w:val="bottom"/>
          </w:tcPr>
          <w:p w14:paraId="1A91663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2 825</w:t>
            </w:r>
          </w:p>
        </w:tc>
        <w:tc>
          <w:tcPr>
            <w:tcW w:w="992" w:type="dxa"/>
            <w:tcBorders>
              <w:top w:val="nil"/>
              <w:left w:val="nil"/>
              <w:bottom w:val="single" w:sz="8" w:space="0" w:color="auto"/>
              <w:right w:val="nil"/>
            </w:tcBorders>
            <w:shd w:val="clear" w:color="auto" w:fill="auto"/>
            <w:noWrap/>
            <w:vAlign w:val="bottom"/>
          </w:tcPr>
          <w:p w14:paraId="570B08A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3 365</w:t>
            </w:r>
          </w:p>
        </w:tc>
        <w:tc>
          <w:tcPr>
            <w:tcW w:w="992" w:type="dxa"/>
            <w:tcBorders>
              <w:top w:val="nil"/>
              <w:left w:val="nil"/>
              <w:bottom w:val="single" w:sz="8" w:space="0" w:color="auto"/>
              <w:right w:val="nil"/>
            </w:tcBorders>
            <w:shd w:val="clear" w:color="auto" w:fill="auto"/>
            <w:vAlign w:val="bottom"/>
          </w:tcPr>
          <w:p w14:paraId="5D5898C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4 188</w:t>
            </w:r>
          </w:p>
        </w:tc>
        <w:tc>
          <w:tcPr>
            <w:tcW w:w="1134" w:type="dxa"/>
            <w:tcBorders>
              <w:top w:val="nil"/>
              <w:left w:val="nil"/>
              <w:bottom w:val="nil"/>
              <w:right w:val="nil"/>
            </w:tcBorders>
            <w:shd w:val="clear" w:color="auto" w:fill="auto"/>
            <w:vAlign w:val="bottom"/>
          </w:tcPr>
          <w:p w14:paraId="2AE99D7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1 338</w:t>
            </w:r>
          </w:p>
        </w:tc>
      </w:tr>
      <w:tr w:rsidR="00865B3C" w:rsidRPr="00865B3C" w14:paraId="10C867B6" w14:textId="77777777" w:rsidTr="00865B3C">
        <w:trPr>
          <w:trHeight w:val="20"/>
        </w:trPr>
        <w:tc>
          <w:tcPr>
            <w:tcW w:w="5671" w:type="dxa"/>
            <w:tcBorders>
              <w:top w:val="single" w:sz="8" w:space="0" w:color="auto"/>
              <w:left w:val="nil"/>
              <w:bottom w:val="single" w:sz="8" w:space="0" w:color="auto"/>
              <w:right w:val="nil"/>
            </w:tcBorders>
            <w:shd w:val="clear" w:color="auto" w:fill="FFFF99"/>
            <w:noWrap/>
            <w:vAlign w:val="center"/>
          </w:tcPr>
          <w:p w14:paraId="5EE3B6AC" w14:textId="77777777" w:rsidR="00865B3C" w:rsidRPr="00865B3C" w:rsidRDefault="00865B3C" w:rsidP="00856149">
            <w:pPr>
              <w:spacing w:after="0" w:line="276" w:lineRule="auto"/>
              <w:ind w:left="-66"/>
              <w:jc w:val="both"/>
              <w:rPr>
                <w:rFonts w:eastAsia="Times New Roman" w:cs="Times New Roman"/>
                <w:b/>
                <w:bCs/>
                <w:sz w:val="20"/>
                <w:szCs w:val="20"/>
              </w:rPr>
            </w:pPr>
            <w:r w:rsidRPr="00865B3C">
              <w:rPr>
                <w:rFonts w:eastAsia="Times New Roman" w:cs="Times New Roman"/>
                <w:b/>
                <w:bCs/>
                <w:sz w:val="20"/>
                <w:szCs w:val="20"/>
              </w:rPr>
              <w:t>Vlastní kapitál celkem</w:t>
            </w:r>
          </w:p>
        </w:tc>
        <w:tc>
          <w:tcPr>
            <w:tcW w:w="992" w:type="dxa"/>
            <w:tcBorders>
              <w:top w:val="nil"/>
              <w:left w:val="nil"/>
              <w:bottom w:val="single" w:sz="12" w:space="0" w:color="auto"/>
              <w:right w:val="nil"/>
            </w:tcBorders>
            <w:shd w:val="clear" w:color="auto" w:fill="FFFF99"/>
            <w:noWrap/>
            <w:vAlign w:val="bottom"/>
          </w:tcPr>
          <w:p w14:paraId="60E3D10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27 187</w:t>
            </w:r>
          </w:p>
        </w:tc>
        <w:tc>
          <w:tcPr>
            <w:tcW w:w="992" w:type="dxa"/>
            <w:tcBorders>
              <w:top w:val="nil"/>
              <w:left w:val="nil"/>
              <w:bottom w:val="single" w:sz="12" w:space="0" w:color="auto"/>
              <w:right w:val="nil"/>
            </w:tcBorders>
            <w:shd w:val="clear" w:color="auto" w:fill="FFFF99"/>
            <w:noWrap/>
            <w:vAlign w:val="bottom"/>
          </w:tcPr>
          <w:p w14:paraId="1ED7E77F"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28 782</w:t>
            </w:r>
          </w:p>
        </w:tc>
        <w:tc>
          <w:tcPr>
            <w:tcW w:w="992" w:type="dxa"/>
            <w:tcBorders>
              <w:top w:val="nil"/>
              <w:left w:val="nil"/>
              <w:bottom w:val="single" w:sz="12" w:space="0" w:color="auto"/>
              <w:right w:val="nil"/>
            </w:tcBorders>
            <w:shd w:val="clear" w:color="auto" w:fill="FFFF99"/>
            <w:vAlign w:val="bottom"/>
          </w:tcPr>
          <w:p w14:paraId="5BD8ABB5"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32 703</w:t>
            </w:r>
          </w:p>
        </w:tc>
        <w:tc>
          <w:tcPr>
            <w:tcW w:w="1134" w:type="dxa"/>
            <w:tcBorders>
              <w:top w:val="single" w:sz="8" w:space="0" w:color="auto"/>
              <w:left w:val="nil"/>
              <w:bottom w:val="single" w:sz="12" w:space="0" w:color="auto"/>
              <w:right w:val="nil"/>
            </w:tcBorders>
            <w:shd w:val="clear" w:color="auto" w:fill="FFFF99"/>
            <w:vAlign w:val="bottom"/>
          </w:tcPr>
          <w:p w14:paraId="22401DE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33 793</w:t>
            </w:r>
          </w:p>
        </w:tc>
      </w:tr>
      <w:tr w:rsidR="00865B3C" w:rsidRPr="00865B3C" w14:paraId="696E5F9E" w14:textId="77777777" w:rsidTr="00865B3C">
        <w:trPr>
          <w:trHeight w:val="20"/>
        </w:trPr>
        <w:tc>
          <w:tcPr>
            <w:tcW w:w="5671" w:type="dxa"/>
            <w:tcBorders>
              <w:top w:val="single" w:sz="12" w:space="0" w:color="auto"/>
              <w:left w:val="nil"/>
              <w:bottom w:val="single" w:sz="12" w:space="0" w:color="auto"/>
              <w:right w:val="nil"/>
            </w:tcBorders>
            <w:shd w:val="clear" w:color="auto" w:fill="FFFF00"/>
            <w:noWrap/>
            <w:vAlign w:val="center"/>
          </w:tcPr>
          <w:p w14:paraId="733F7274" w14:textId="77777777" w:rsidR="00865B3C" w:rsidRPr="00865B3C" w:rsidRDefault="00865B3C" w:rsidP="00856149">
            <w:pPr>
              <w:overflowPunct w:val="0"/>
              <w:autoSpaceDE w:val="0"/>
              <w:autoSpaceDN w:val="0"/>
              <w:adjustRightInd w:val="0"/>
              <w:spacing w:after="0" w:line="276" w:lineRule="auto"/>
              <w:ind w:left="-66" w:right="-70"/>
              <w:jc w:val="both"/>
              <w:textAlignment w:val="baseline"/>
              <w:rPr>
                <w:rFonts w:eastAsia="Times New Roman" w:cs="Times New Roman"/>
                <w:b/>
                <w:sz w:val="20"/>
                <w:szCs w:val="20"/>
              </w:rPr>
            </w:pPr>
            <w:r w:rsidRPr="00865B3C">
              <w:rPr>
                <w:rFonts w:eastAsia="Times New Roman" w:cs="Times New Roman"/>
                <w:b/>
                <w:bCs/>
                <w:sz w:val="20"/>
                <w:szCs w:val="20"/>
              </w:rPr>
              <w:t>CELKEM PASIVA A VLASTNÍ KAPITÁL</w:t>
            </w:r>
          </w:p>
        </w:tc>
        <w:tc>
          <w:tcPr>
            <w:tcW w:w="992" w:type="dxa"/>
            <w:tcBorders>
              <w:top w:val="nil"/>
              <w:left w:val="nil"/>
              <w:bottom w:val="single" w:sz="12" w:space="0" w:color="auto"/>
              <w:right w:val="nil"/>
            </w:tcBorders>
            <w:shd w:val="clear" w:color="000000" w:fill="FFFF00"/>
            <w:noWrap/>
            <w:vAlign w:val="bottom"/>
          </w:tcPr>
          <w:p w14:paraId="6416B4F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337 874</w:t>
            </w:r>
          </w:p>
        </w:tc>
        <w:tc>
          <w:tcPr>
            <w:tcW w:w="992" w:type="dxa"/>
            <w:tcBorders>
              <w:top w:val="nil"/>
              <w:left w:val="nil"/>
              <w:bottom w:val="single" w:sz="12" w:space="0" w:color="auto"/>
              <w:right w:val="nil"/>
            </w:tcBorders>
            <w:shd w:val="clear" w:color="000000" w:fill="FFFF00"/>
            <w:noWrap/>
            <w:vAlign w:val="bottom"/>
          </w:tcPr>
          <w:p w14:paraId="5629461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362 564</w:t>
            </w:r>
          </w:p>
        </w:tc>
        <w:tc>
          <w:tcPr>
            <w:tcW w:w="992" w:type="dxa"/>
            <w:tcBorders>
              <w:top w:val="nil"/>
              <w:left w:val="nil"/>
              <w:bottom w:val="single" w:sz="12" w:space="0" w:color="auto"/>
              <w:right w:val="nil"/>
            </w:tcBorders>
            <w:shd w:val="clear" w:color="000000" w:fill="FFFF00"/>
            <w:vAlign w:val="bottom"/>
          </w:tcPr>
          <w:p w14:paraId="0871C7F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color w:val="000000"/>
                <w:sz w:val="20"/>
                <w:szCs w:val="20"/>
              </w:rPr>
            </w:pPr>
            <w:r w:rsidRPr="00865B3C">
              <w:rPr>
                <w:rFonts w:eastAsia="Times New Roman" w:cs="Times New Roman"/>
                <w:b/>
                <w:bCs/>
                <w:color w:val="000000"/>
                <w:sz w:val="20"/>
                <w:szCs w:val="20"/>
              </w:rPr>
              <w:t>370 715</w:t>
            </w:r>
          </w:p>
        </w:tc>
        <w:tc>
          <w:tcPr>
            <w:tcW w:w="1134" w:type="dxa"/>
            <w:tcBorders>
              <w:top w:val="nil"/>
              <w:left w:val="nil"/>
              <w:bottom w:val="single" w:sz="12" w:space="0" w:color="auto"/>
              <w:right w:val="nil"/>
            </w:tcBorders>
            <w:shd w:val="clear" w:color="000000" w:fill="FFFF00"/>
            <w:vAlign w:val="bottom"/>
          </w:tcPr>
          <w:p w14:paraId="1010A3F3"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b/>
                <w:bCs/>
                <w:sz w:val="20"/>
                <w:szCs w:val="20"/>
              </w:rPr>
            </w:pPr>
            <w:r w:rsidRPr="00865B3C">
              <w:rPr>
                <w:rFonts w:eastAsia="Times New Roman" w:cs="Times New Roman"/>
                <w:b/>
                <w:bCs/>
                <w:sz w:val="20"/>
                <w:szCs w:val="20"/>
              </w:rPr>
              <w:t>414 140</w:t>
            </w:r>
          </w:p>
        </w:tc>
      </w:tr>
    </w:tbl>
    <w:p w14:paraId="59E0D109" w14:textId="77777777" w:rsidR="00865B3C" w:rsidRPr="00865B3C" w:rsidRDefault="00865B3C" w:rsidP="00856149">
      <w:pPr>
        <w:spacing w:line="276" w:lineRule="auto"/>
        <w:jc w:val="both"/>
        <w:rPr>
          <w:rFonts w:cs="Times New Roman"/>
        </w:rPr>
      </w:pPr>
    </w:p>
    <w:p w14:paraId="29AC4D81"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rPr>
      </w:pPr>
      <w:r w:rsidRPr="00865B3C">
        <w:rPr>
          <w:rFonts w:eastAsia="Times New Roman" w:cs="Times New Roman"/>
          <w:b/>
          <w:bCs/>
          <w:iCs/>
          <w:color w:val="000000"/>
        </w:rPr>
        <w:t>Klíčové finanční údaje</w:t>
      </w:r>
    </w:p>
    <w:p w14:paraId="5226284D"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sz w:val="24"/>
          <w:szCs w:val="20"/>
        </w:rPr>
      </w:pPr>
    </w:p>
    <w:tbl>
      <w:tblPr>
        <w:tblW w:w="9781" w:type="dxa"/>
        <w:tblInd w:w="-142" w:type="dxa"/>
        <w:tblLayout w:type="fixed"/>
        <w:tblLook w:val="0000" w:firstRow="0" w:lastRow="0" w:firstColumn="0" w:lastColumn="0" w:noHBand="0" w:noVBand="0"/>
      </w:tblPr>
      <w:tblGrid>
        <w:gridCol w:w="5671"/>
        <w:gridCol w:w="992"/>
        <w:gridCol w:w="992"/>
        <w:gridCol w:w="992"/>
        <w:gridCol w:w="1134"/>
      </w:tblGrid>
      <w:tr w:rsidR="00865B3C" w:rsidRPr="00865B3C" w14:paraId="1AF92A36" w14:textId="77777777" w:rsidTr="00865B3C">
        <w:trPr>
          <w:trHeight w:val="20"/>
        </w:trPr>
        <w:tc>
          <w:tcPr>
            <w:tcW w:w="5671" w:type="dxa"/>
            <w:tcBorders>
              <w:top w:val="single" w:sz="12" w:space="0" w:color="auto"/>
              <w:left w:val="nil"/>
              <w:bottom w:val="single" w:sz="4" w:space="0" w:color="auto"/>
              <w:right w:val="nil"/>
            </w:tcBorders>
            <w:shd w:val="clear" w:color="auto" w:fill="FFFF00"/>
            <w:noWrap/>
            <w:vAlign w:val="center"/>
          </w:tcPr>
          <w:p w14:paraId="1CE4F508" w14:textId="77777777" w:rsidR="00865B3C" w:rsidRPr="00865B3C" w:rsidRDefault="00865B3C" w:rsidP="00856149">
            <w:pPr>
              <w:spacing w:after="0" w:line="276" w:lineRule="auto"/>
              <w:ind w:left="-66"/>
              <w:jc w:val="both"/>
              <w:rPr>
                <w:rFonts w:eastAsia="Times New Roman" w:cs="Times New Roman"/>
                <w:b/>
                <w:color w:val="000000"/>
                <w:sz w:val="20"/>
                <w:szCs w:val="20"/>
              </w:rPr>
            </w:pPr>
          </w:p>
        </w:tc>
        <w:tc>
          <w:tcPr>
            <w:tcW w:w="992" w:type="dxa"/>
            <w:tcBorders>
              <w:top w:val="single" w:sz="12" w:space="0" w:color="auto"/>
              <w:left w:val="nil"/>
              <w:bottom w:val="single" w:sz="4" w:space="0" w:color="auto"/>
              <w:right w:val="nil"/>
            </w:tcBorders>
            <w:shd w:val="clear" w:color="auto" w:fill="FFFF00"/>
            <w:noWrap/>
            <w:vAlign w:val="center"/>
          </w:tcPr>
          <w:p w14:paraId="1698EC55" w14:textId="77777777" w:rsidR="00865B3C" w:rsidRPr="00865B3C" w:rsidRDefault="00865B3C" w:rsidP="00AA77D8">
            <w:pPr>
              <w:spacing w:after="0" w:line="276" w:lineRule="auto"/>
              <w:jc w:val="right"/>
              <w:rPr>
                <w:rFonts w:eastAsia="Times New Roman" w:cs="Times New Roman"/>
                <w:b/>
                <w:bCs/>
                <w:color w:val="000000"/>
                <w:sz w:val="20"/>
                <w:szCs w:val="20"/>
              </w:rPr>
            </w:pPr>
            <w:r w:rsidRPr="00865B3C">
              <w:rPr>
                <w:rFonts w:eastAsia="Times New Roman" w:cs="Times New Roman"/>
                <w:b/>
                <w:bCs/>
                <w:color w:val="000000"/>
                <w:sz w:val="20"/>
                <w:szCs w:val="20"/>
              </w:rPr>
              <w:t>2017</w:t>
            </w:r>
          </w:p>
        </w:tc>
        <w:tc>
          <w:tcPr>
            <w:tcW w:w="992" w:type="dxa"/>
            <w:tcBorders>
              <w:top w:val="single" w:sz="12" w:space="0" w:color="auto"/>
              <w:left w:val="nil"/>
              <w:bottom w:val="single" w:sz="4" w:space="0" w:color="auto"/>
              <w:right w:val="nil"/>
            </w:tcBorders>
            <w:shd w:val="clear" w:color="auto" w:fill="FFFF00"/>
            <w:noWrap/>
            <w:vAlign w:val="center"/>
          </w:tcPr>
          <w:p w14:paraId="03AF23BE"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2018</w:t>
            </w:r>
          </w:p>
        </w:tc>
        <w:tc>
          <w:tcPr>
            <w:tcW w:w="992" w:type="dxa"/>
            <w:tcBorders>
              <w:top w:val="single" w:sz="12" w:space="0" w:color="auto"/>
              <w:left w:val="nil"/>
              <w:bottom w:val="single" w:sz="4" w:space="0" w:color="auto"/>
              <w:right w:val="nil"/>
            </w:tcBorders>
            <w:shd w:val="clear" w:color="auto" w:fill="FFFF00"/>
            <w:vAlign w:val="center"/>
          </w:tcPr>
          <w:p w14:paraId="70FADF9A"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2019</w:t>
            </w:r>
          </w:p>
        </w:tc>
        <w:tc>
          <w:tcPr>
            <w:tcW w:w="1134" w:type="dxa"/>
            <w:tcBorders>
              <w:top w:val="single" w:sz="12" w:space="0" w:color="auto"/>
              <w:left w:val="nil"/>
              <w:bottom w:val="single" w:sz="4" w:space="0" w:color="auto"/>
              <w:right w:val="nil"/>
            </w:tcBorders>
            <w:shd w:val="clear" w:color="auto" w:fill="FFFF00"/>
          </w:tcPr>
          <w:p w14:paraId="6360FDE5" w14:textId="77777777" w:rsidR="00865B3C" w:rsidRPr="00865B3C" w:rsidRDefault="00865B3C" w:rsidP="00AA77D8">
            <w:pPr>
              <w:overflowPunct w:val="0"/>
              <w:autoSpaceDE w:val="0"/>
              <w:autoSpaceDN w:val="0"/>
              <w:adjustRightInd w:val="0"/>
              <w:spacing w:after="0" w:line="276" w:lineRule="auto"/>
              <w:ind w:right="-38"/>
              <w:jc w:val="right"/>
              <w:textAlignment w:val="baseline"/>
              <w:rPr>
                <w:rFonts w:eastAsia="Arial Unicode MS" w:cs="Times New Roman"/>
                <w:b/>
                <w:bCs/>
                <w:color w:val="000000"/>
                <w:sz w:val="20"/>
                <w:szCs w:val="20"/>
              </w:rPr>
            </w:pPr>
            <w:r w:rsidRPr="00865B3C">
              <w:rPr>
                <w:rFonts w:eastAsia="Arial Unicode MS" w:cs="Times New Roman"/>
                <w:b/>
                <w:bCs/>
                <w:color w:val="000000"/>
                <w:sz w:val="20"/>
                <w:szCs w:val="20"/>
              </w:rPr>
              <w:t>30.6.2020</w:t>
            </w:r>
          </w:p>
        </w:tc>
      </w:tr>
      <w:tr w:rsidR="00865B3C" w:rsidRPr="00865B3C" w14:paraId="4A05230B" w14:textId="77777777" w:rsidTr="00865B3C">
        <w:trPr>
          <w:trHeight w:val="20"/>
        </w:trPr>
        <w:tc>
          <w:tcPr>
            <w:tcW w:w="5671" w:type="dxa"/>
            <w:tcBorders>
              <w:top w:val="nil"/>
              <w:left w:val="nil"/>
              <w:bottom w:val="nil"/>
              <w:right w:val="nil"/>
            </w:tcBorders>
            <w:shd w:val="clear" w:color="auto" w:fill="FFFFFF"/>
            <w:noWrap/>
            <w:vAlign w:val="center"/>
          </w:tcPr>
          <w:p w14:paraId="63D5224C"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Zisk na akcii</w:t>
            </w:r>
          </w:p>
        </w:tc>
        <w:tc>
          <w:tcPr>
            <w:tcW w:w="992" w:type="dxa"/>
            <w:tcBorders>
              <w:top w:val="nil"/>
              <w:left w:val="nil"/>
              <w:bottom w:val="nil"/>
              <w:right w:val="nil"/>
            </w:tcBorders>
            <w:shd w:val="clear" w:color="000000" w:fill="FFFFFF"/>
            <w:noWrap/>
            <w:vAlign w:val="center"/>
          </w:tcPr>
          <w:p w14:paraId="02919ECC" w14:textId="77777777" w:rsidR="00865B3C" w:rsidRPr="00865B3C" w:rsidRDefault="00865B3C" w:rsidP="00AA77D8">
            <w:pPr>
              <w:spacing w:after="0" w:line="276" w:lineRule="auto"/>
              <w:jc w:val="right"/>
              <w:rPr>
                <w:rFonts w:eastAsia="Times New Roman" w:cs="Times New Roman"/>
                <w:color w:val="000000"/>
                <w:sz w:val="20"/>
                <w:szCs w:val="20"/>
              </w:rPr>
            </w:pPr>
            <w:r w:rsidRPr="00865B3C">
              <w:rPr>
                <w:rFonts w:eastAsia="Times New Roman" w:cs="Times New Roman"/>
                <w:color w:val="000000"/>
                <w:sz w:val="20"/>
                <w:szCs w:val="20"/>
              </w:rPr>
              <w:t>2,55</w:t>
            </w:r>
          </w:p>
        </w:tc>
        <w:tc>
          <w:tcPr>
            <w:tcW w:w="992" w:type="dxa"/>
            <w:tcBorders>
              <w:top w:val="nil"/>
              <w:left w:val="nil"/>
              <w:bottom w:val="nil"/>
              <w:right w:val="nil"/>
            </w:tcBorders>
            <w:shd w:val="clear" w:color="000000" w:fill="FFFFFF"/>
            <w:noWrap/>
            <w:vAlign w:val="center"/>
          </w:tcPr>
          <w:p w14:paraId="27859BC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3,04</w:t>
            </w:r>
          </w:p>
        </w:tc>
        <w:tc>
          <w:tcPr>
            <w:tcW w:w="992" w:type="dxa"/>
            <w:tcBorders>
              <w:top w:val="nil"/>
              <w:left w:val="nil"/>
              <w:bottom w:val="nil"/>
              <w:right w:val="nil"/>
            </w:tcBorders>
            <w:shd w:val="clear" w:color="000000" w:fill="FFFFFF"/>
            <w:vAlign w:val="center"/>
          </w:tcPr>
          <w:p w14:paraId="4BB5E67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3,79</w:t>
            </w:r>
          </w:p>
        </w:tc>
        <w:tc>
          <w:tcPr>
            <w:tcW w:w="1134" w:type="dxa"/>
            <w:tcBorders>
              <w:top w:val="nil"/>
              <w:left w:val="nil"/>
              <w:bottom w:val="nil"/>
              <w:right w:val="nil"/>
            </w:tcBorders>
            <w:shd w:val="clear" w:color="000000" w:fill="FFFFFF"/>
            <w:vAlign w:val="center"/>
          </w:tcPr>
          <w:p w14:paraId="1C56D3B9"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2,42</w:t>
            </w:r>
          </w:p>
        </w:tc>
      </w:tr>
      <w:tr w:rsidR="00865B3C" w:rsidRPr="00865B3C" w14:paraId="43D90400" w14:textId="77777777" w:rsidTr="00865B3C">
        <w:trPr>
          <w:trHeight w:val="20"/>
        </w:trPr>
        <w:tc>
          <w:tcPr>
            <w:tcW w:w="5671" w:type="dxa"/>
            <w:tcBorders>
              <w:top w:val="nil"/>
              <w:left w:val="nil"/>
              <w:bottom w:val="nil"/>
              <w:right w:val="nil"/>
            </w:tcBorders>
            <w:shd w:val="clear" w:color="auto" w:fill="FFFFFF"/>
            <w:noWrap/>
            <w:vAlign w:val="center"/>
          </w:tcPr>
          <w:p w14:paraId="421E37BC"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Rentabilita průměrného vlastního kapitálu po zdanění (ROAE)</w:t>
            </w:r>
          </w:p>
        </w:tc>
        <w:tc>
          <w:tcPr>
            <w:tcW w:w="992" w:type="dxa"/>
            <w:tcBorders>
              <w:top w:val="nil"/>
              <w:left w:val="nil"/>
              <w:bottom w:val="nil"/>
              <w:right w:val="nil"/>
            </w:tcBorders>
            <w:shd w:val="clear" w:color="000000" w:fill="FFFFFF"/>
            <w:noWrap/>
            <w:vAlign w:val="center"/>
          </w:tcPr>
          <w:p w14:paraId="1C4CFFD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11,4%</w:t>
            </w:r>
          </w:p>
        </w:tc>
        <w:tc>
          <w:tcPr>
            <w:tcW w:w="992" w:type="dxa"/>
            <w:tcBorders>
              <w:top w:val="nil"/>
              <w:left w:val="nil"/>
              <w:bottom w:val="nil"/>
              <w:right w:val="nil"/>
            </w:tcBorders>
            <w:shd w:val="clear" w:color="000000" w:fill="FFFFFF"/>
            <w:noWrap/>
            <w:vAlign w:val="center"/>
          </w:tcPr>
          <w:p w14:paraId="51008F9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12,3%</w:t>
            </w:r>
          </w:p>
        </w:tc>
        <w:tc>
          <w:tcPr>
            <w:tcW w:w="992" w:type="dxa"/>
            <w:tcBorders>
              <w:top w:val="nil"/>
              <w:left w:val="nil"/>
              <w:bottom w:val="nil"/>
              <w:right w:val="nil"/>
            </w:tcBorders>
            <w:shd w:val="clear" w:color="000000" w:fill="FFFFFF"/>
            <w:vAlign w:val="center"/>
          </w:tcPr>
          <w:p w14:paraId="1D91403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13,7%</w:t>
            </w:r>
          </w:p>
        </w:tc>
        <w:tc>
          <w:tcPr>
            <w:tcW w:w="1134" w:type="dxa"/>
            <w:tcBorders>
              <w:top w:val="nil"/>
              <w:left w:val="nil"/>
              <w:bottom w:val="nil"/>
              <w:right w:val="nil"/>
            </w:tcBorders>
            <w:shd w:val="clear" w:color="000000" w:fill="FFFFFF"/>
            <w:vAlign w:val="center"/>
          </w:tcPr>
          <w:p w14:paraId="685945D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8,0%</w:t>
            </w:r>
          </w:p>
        </w:tc>
      </w:tr>
      <w:tr w:rsidR="00865B3C" w:rsidRPr="00865B3C" w14:paraId="27AC1217" w14:textId="77777777" w:rsidTr="00865B3C">
        <w:trPr>
          <w:trHeight w:val="20"/>
        </w:trPr>
        <w:tc>
          <w:tcPr>
            <w:tcW w:w="5671" w:type="dxa"/>
            <w:tcBorders>
              <w:top w:val="nil"/>
              <w:left w:val="nil"/>
              <w:bottom w:val="nil"/>
              <w:right w:val="nil"/>
            </w:tcBorders>
            <w:shd w:val="clear" w:color="auto" w:fill="FFFFFF"/>
            <w:noWrap/>
            <w:vAlign w:val="center"/>
          </w:tcPr>
          <w:p w14:paraId="777B44FF"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Poměr nákladů a výnosů</w:t>
            </w:r>
          </w:p>
        </w:tc>
        <w:tc>
          <w:tcPr>
            <w:tcW w:w="992" w:type="dxa"/>
            <w:tcBorders>
              <w:top w:val="nil"/>
              <w:left w:val="nil"/>
              <w:bottom w:val="nil"/>
              <w:right w:val="nil"/>
            </w:tcBorders>
            <w:shd w:val="clear" w:color="000000" w:fill="FFFFFF"/>
            <w:noWrap/>
            <w:vAlign w:val="center"/>
          </w:tcPr>
          <w:p w14:paraId="4F12D20A"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58,1%</w:t>
            </w:r>
          </w:p>
        </w:tc>
        <w:tc>
          <w:tcPr>
            <w:tcW w:w="992" w:type="dxa"/>
            <w:tcBorders>
              <w:top w:val="nil"/>
              <w:left w:val="nil"/>
              <w:bottom w:val="nil"/>
              <w:right w:val="nil"/>
            </w:tcBorders>
            <w:shd w:val="clear" w:color="000000" w:fill="FFFFFF"/>
            <w:noWrap/>
            <w:vAlign w:val="center"/>
          </w:tcPr>
          <w:p w14:paraId="20109696"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53,9%</w:t>
            </w:r>
          </w:p>
        </w:tc>
        <w:tc>
          <w:tcPr>
            <w:tcW w:w="992" w:type="dxa"/>
            <w:tcBorders>
              <w:top w:val="nil"/>
              <w:left w:val="nil"/>
              <w:bottom w:val="nil"/>
              <w:right w:val="nil"/>
            </w:tcBorders>
            <w:shd w:val="clear" w:color="000000" w:fill="FFFFFF"/>
            <w:vAlign w:val="center"/>
          </w:tcPr>
          <w:p w14:paraId="376DC0E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56,0%</w:t>
            </w:r>
          </w:p>
        </w:tc>
        <w:tc>
          <w:tcPr>
            <w:tcW w:w="1134" w:type="dxa"/>
            <w:tcBorders>
              <w:top w:val="nil"/>
              <w:left w:val="nil"/>
              <w:bottom w:val="nil"/>
              <w:right w:val="nil"/>
            </w:tcBorders>
            <w:shd w:val="clear" w:color="000000" w:fill="FFFFFF"/>
            <w:vAlign w:val="center"/>
          </w:tcPr>
          <w:p w14:paraId="088D16B0"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62,2%</w:t>
            </w:r>
          </w:p>
        </w:tc>
      </w:tr>
      <w:tr w:rsidR="00865B3C" w:rsidRPr="00865B3C" w14:paraId="1FDCE6C0" w14:textId="77777777" w:rsidTr="00865B3C">
        <w:trPr>
          <w:trHeight w:val="20"/>
        </w:trPr>
        <w:tc>
          <w:tcPr>
            <w:tcW w:w="5671" w:type="dxa"/>
            <w:tcBorders>
              <w:top w:val="nil"/>
              <w:left w:val="nil"/>
              <w:right w:val="nil"/>
            </w:tcBorders>
            <w:shd w:val="clear" w:color="auto" w:fill="FFFFFF"/>
            <w:noWrap/>
            <w:vAlign w:val="center"/>
          </w:tcPr>
          <w:p w14:paraId="0F3EC005"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Rentabilita průměrných aktiv po zdanění (ROAA)</w:t>
            </w:r>
          </w:p>
        </w:tc>
        <w:tc>
          <w:tcPr>
            <w:tcW w:w="992" w:type="dxa"/>
            <w:tcBorders>
              <w:top w:val="nil"/>
              <w:left w:val="nil"/>
              <w:right w:val="nil"/>
            </w:tcBorders>
            <w:shd w:val="clear" w:color="000000" w:fill="FFFFFF"/>
            <w:noWrap/>
            <w:vAlign w:val="center"/>
          </w:tcPr>
          <w:p w14:paraId="7559341D"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0,8%</w:t>
            </w:r>
          </w:p>
        </w:tc>
        <w:tc>
          <w:tcPr>
            <w:tcW w:w="992" w:type="dxa"/>
            <w:tcBorders>
              <w:top w:val="nil"/>
              <w:left w:val="nil"/>
              <w:right w:val="nil"/>
            </w:tcBorders>
            <w:shd w:val="clear" w:color="000000" w:fill="FFFFFF"/>
            <w:noWrap/>
            <w:vAlign w:val="center"/>
          </w:tcPr>
          <w:p w14:paraId="7A31347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1,0%</w:t>
            </w:r>
          </w:p>
        </w:tc>
        <w:tc>
          <w:tcPr>
            <w:tcW w:w="992" w:type="dxa"/>
            <w:tcBorders>
              <w:top w:val="nil"/>
              <w:left w:val="nil"/>
              <w:right w:val="nil"/>
            </w:tcBorders>
            <w:shd w:val="clear" w:color="000000" w:fill="FFFFFF"/>
            <w:vAlign w:val="center"/>
          </w:tcPr>
          <w:p w14:paraId="4CB7BEA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1,1%</w:t>
            </w:r>
          </w:p>
        </w:tc>
        <w:tc>
          <w:tcPr>
            <w:tcW w:w="1134" w:type="dxa"/>
            <w:tcBorders>
              <w:top w:val="nil"/>
              <w:left w:val="nil"/>
              <w:right w:val="nil"/>
            </w:tcBorders>
            <w:shd w:val="clear" w:color="000000" w:fill="FFFFFF"/>
            <w:vAlign w:val="center"/>
          </w:tcPr>
          <w:p w14:paraId="4019263E"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0,7%</w:t>
            </w:r>
          </w:p>
        </w:tc>
      </w:tr>
      <w:tr w:rsidR="00865B3C" w:rsidRPr="00865B3C" w14:paraId="54AB8BCB" w14:textId="77777777" w:rsidTr="00865B3C">
        <w:trPr>
          <w:trHeight w:val="20"/>
        </w:trPr>
        <w:tc>
          <w:tcPr>
            <w:tcW w:w="5671" w:type="dxa"/>
            <w:tcBorders>
              <w:top w:val="nil"/>
              <w:left w:val="nil"/>
              <w:bottom w:val="single" w:sz="4" w:space="0" w:color="auto"/>
              <w:right w:val="nil"/>
            </w:tcBorders>
            <w:shd w:val="clear" w:color="auto" w:fill="FFFFFF"/>
            <w:noWrap/>
            <w:vAlign w:val="center"/>
          </w:tcPr>
          <w:p w14:paraId="788D1F80" w14:textId="77777777" w:rsidR="00865B3C" w:rsidRPr="00865B3C" w:rsidRDefault="00865B3C" w:rsidP="00856149">
            <w:pPr>
              <w:overflowPunct w:val="0"/>
              <w:autoSpaceDE w:val="0"/>
              <w:autoSpaceDN w:val="0"/>
              <w:adjustRightInd w:val="0"/>
              <w:spacing w:after="0" w:line="276" w:lineRule="auto"/>
              <w:jc w:val="both"/>
              <w:textAlignment w:val="baseline"/>
              <w:rPr>
                <w:rFonts w:eastAsia="Times New Roman" w:cs="Times New Roman"/>
                <w:color w:val="000000"/>
                <w:sz w:val="20"/>
                <w:szCs w:val="20"/>
              </w:rPr>
            </w:pPr>
            <w:r w:rsidRPr="00865B3C">
              <w:rPr>
                <w:rFonts w:eastAsia="Times New Roman" w:cs="Times New Roman"/>
                <w:color w:val="000000"/>
                <w:sz w:val="20"/>
                <w:szCs w:val="20"/>
              </w:rPr>
              <w:t>Poměr nesplácených úvěrů</w:t>
            </w:r>
          </w:p>
        </w:tc>
        <w:tc>
          <w:tcPr>
            <w:tcW w:w="992" w:type="dxa"/>
            <w:tcBorders>
              <w:top w:val="nil"/>
              <w:left w:val="nil"/>
              <w:bottom w:val="single" w:sz="4" w:space="0" w:color="auto"/>
              <w:right w:val="nil"/>
            </w:tcBorders>
            <w:shd w:val="clear" w:color="000000" w:fill="FFFFFF"/>
            <w:noWrap/>
            <w:vAlign w:val="center"/>
          </w:tcPr>
          <w:p w14:paraId="58FE63D7"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2,5%</w:t>
            </w:r>
          </w:p>
        </w:tc>
        <w:tc>
          <w:tcPr>
            <w:tcW w:w="992" w:type="dxa"/>
            <w:tcBorders>
              <w:top w:val="nil"/>
              <w:left w:val="nil"/>
              <w:bottom w:val="single" w:sz="4" w:space="0" w:color="auto"/>
              <w:right w:val="nil"/>
            </w:tcBorders>
            <w:shd w:val="clear" w:color="000000" w:fill="FFFFFF"/>
            <w:noWrap/>
            <w:vAlign w:val="center"/>
          </w:tcPr>
          <w:p w14:paraId="32491024"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1,8%</w:t>
            </w:r>
          </w:p>
        </w:tc>
        <w:tc>
          <w:tcPr>
            <w:tcW w:w="992" w:type="dxa"/>
            <w:tcBorders>
              <w:top w:val="nil"/>
              <w:left w:val="nil"/>
              <w:bottom w:val="single" w:sz="4" w:space="0" w:color="auto"/>
              <w:right w:val="nil"/>
            </w:tcBorders>
            <w:shd w:val="clear" w:color="000000" w:fill="FFFFFF"/>
            <w:vAlign w:val="center"/>
          </w:tcPr>
          <w:p w14:paraId="37FCF12C"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1,7%</w:t>
            </w:r>
          </w:p>
        </w:tc>
        <w:tc>
          <w:tcPr>
            <w:tcW w:w="1134" w:type="dxa"/>
            <w:tcBorders>
              <w:top w:val="nil"/>
              <w:left w:val="nil"/>
              <w:bottom w:val="single" w:sz="4" w:space="0" w:color="auto"/>
              <w:right w:val="nil"/>
            </w:tcBorders>
            <w:shd w:val="clear" w:color="000000" w:fill="FFFFFF"/>
            <w:vAlign w:val="center"/>
          </w:tcPr>
          <w:p w14:paraId="7DBCF262" w14:textId="77777777" w:rsidR="00865B3C" w:rsidRPr="00865B3C" w:rsidRDefault="00865B3C" w:rsidP="00AA77D8">
            <w:pPr>
              <w:overflowPunct w:val="0"/>
              <w:autoSpaceDE w:val="0"/>
              <w:autoSpaceDN w:val="0"/>
              <w:adjustRightInd w:val="0"/>
              <w:spacing w:after="0" w:line="276" w:lineRule="auto"/>
              <w:jc w:val="right"/>
              <w:textAlignment w:val="baseline"/>
              <w:rPr>
                <w:rFonts w:eastAsia="Times New Roman" w:cs="Times New Roman"/>
                <w:color w:val="000000"/>
                <w:sz w:val="20"/>
                <w:szCs w:val="20"/>
              </w:rPr>
            </w:pPr>
            <w:r w:rsidRPr="00865B3C">
              <w:rPr>
                <w:rFonts w:eastAsia="Times New Roman" w:cs="Times New Roman"/>
                <w:color w:val="000000"/>
                <w:sz w:val="20"/>
                <w:szCs w:val="20"/>
              </w:rPr>
              <w:t>1,9%</w:t>
            </w:r>
          </w:p>
        </w:tc>
      </w:tr>
    </w:tbl>
    <w:p w14:paraId="1D6C9F5B" w14:textId="77777777" w:rsidR="005768E5" w:rsidRPr="00865B3C" w:rsidRDefault="005768E5" w:rsidP="00856149">
      <w:pPr>
        <w:spacing w:line="276" w:lineRule="auto"/>
        <w:jc w:val="both"/>
        <w:rPr>
          <w:rFonts w:cs="Times New Roman"/>
        </w:rPr>
      </w:pPr>
    </w:p>
    <w:p w14:paraId="38CA9D12" w14:textId="0EFA1C73" w:rsidR="009477EB" w:rsidRDefault="009477EB" w:rsidP="00856149">
      <w:pPr>
        <w:pStyle w:val="Heading2"/>
        <w:spacing w:line="276" w:lineRule="auto"/>
        <w:jc w:val="both"/>
        <w:rPr>
          <w:rFonts w:cs="Times New Roman"/>
        </w:rPr>
      </w:pPr>
      <w:bookmarkStart w:id="26" w:name="_Toc46755377"/>
      <w:r>
        <w:rPr>
          <w:rFonts w:cs="Times New Roman"/>
        </w:rPr>
        <w:t>Predikce finančních výkazů</w:t>
      </w:r>
      <w:bookmarkEnd w:id="26"/>
    </w:p>
    <w:p w14:paraId="03DCA67B" w14:textId="77777777" w:rsidR="009477EB" w:rsidRDefault="009477EB" w:rsidP="00856149">
      <w:pPr>
        <w:spacing w:line="276" w:lineRule="auto"/>
        <w:jc w:val="both"/>
      </w:pPr>
    </w:p>
    <w:p w14:paraId="7DB805EF" w14:textId="2628349F" w:rsidR="009477EB" w:rsidRDefault="009477EB" w:rsidP="00856149">
      <w:pPr>
        <w:spacing w:line="276" w:lineRule="auto"/>
        <w:jc w:val="both"/>
      </w:pPr>
      <w:r>
        <w:t xml:space="preserve">S ohledem na obchodní záměr </w:t>
      </w:r>
      <w:r w:rsidR="00602BE6">
        <w:t>E</w:t>
      </w:r>
      <w:r>
        <w:t>mitenta není uvedena projekce finančních výsledků na budoucí období.</w:t>
      </w:r>
    </w:p>
    <w:p w14:paraId="33E23AE2" w14:textId="77777777" w:rsidR="007D20FB" w:rsidRPr="009477EB" w:rsidRDefault="007D20FB" w:rsidP="00856149">
      <w:pPr>
        <w:spacing w:line="276" w:lineRule="auto"/>
        <w:jc w:val="both"/>
      </w:pPr>
    </w:p>
    <w:p w14:paraId="6B2A23F2" w14:textId="4A7D0236" w:rsidR="00A6115E" w:rsidRPr="00865B3C" w:rsidRDefault="00A6115E" w:rsidP="00856149">
      <w:pPr>
        <w:pStyle w:val="Heading2"/>
        <w:spacing w:line="276" w:lineRule="auto"/>
        <w:jc w:val="both"/>
        <w:rPr>
          <w:rFonts w:cs="Times New Roman"/>
        </w:rPr>
      </w:pPr>
      <w:bookmarkStart w:id="27" w:name="_Toc46755378"/>
      <w:r w:rsidRPr="00865B3C">
        <w:rPr>
          <w:rFonts w:cs="Times New Roman"/>
        </w:rPr>
        <w:t>Zásady Corporate Governance</w:t>
      </w:r>
      <w:bookmarkEnd w:id="27"/>
    </w:p>
    <w:p w14:paraId="0666C964" w14:textId="77777777" w:rsidR="00BE7347" w:rsidRPr="00865B3C" w:rsidRDefault="00BE7347" w:rsidP="00856149">
      <w:pPr>
        <w:spacing w:line="276" w:lineRule="auto"/>
        <w:jc w:val="both"/>
        <w:rPr>
          <w:rFonts w:cs="Times New Roman"/>
        </w:rPr>
      </w:pPr>
    </w:p>
    <w:p w14:paraId="4AB1FC77" w14:textId="0345ECF1" w:rsidR="002C0C56" w:rsidRPr="00865B3C" w:rsidRDefault="002C0C56" w:rsidP="00856149">
      <w:pPr>
        <w:spacing w:line="276" w:lineRule="auto"/>
        <w:jc w:val="both"/>
        <w:rPr>
          <w:rFonts w:cs="Times New Roman"/>
        </w:rPr>
      </w:pPr>
      <w:r w:rsidRPr="00865B3C">
        <w:rPr>
          <w:rFonts w:cs="Times New Roman"/>
        </w:rPr>
        <w:t xml:space="preserve">Činnost </w:t>
      </w:r>
      <w:r w:rsidR="00602BE6">
        <w:rPr>
          <w:rFonts w:cs="Times New Roman"/>
        </w:rPr>
        <w:t>Emitenta</w:t>
      </w:r>
      <w:r w:rsidRPr="00865B3C">
        <w:rPr>
          <w:rFonts w:cs="Times New Roman"/>
        </w:rPr>
        <w:t xml:space="preserve"> se řídí obecně závaznými předpisy, doporučeními relevantních dohledových orgánů a stanovami </w:t>
      </w:r>
      <w:r w:rsidR="00602BE6">
        <w:rPr>
          <w:rFonts w:cs="Times New Roman"/>
        </w:rPr>
        <w:t>Emitenta.</w:t>
      </w:r>
    </w:p>
    <w:p w14:paraId="292F3D52" w14:textId="41F0BDF2" w:rsidR="002C0C56" w:rsidRPr="00865B3C" w:rsidRDefault="002C0C56" w:rsidP="00856149">
      <w:pPr>
        <w:spacing w:line="276" w:lineRule="auto"/>
        <w:jc w:val="both"/>
        <w:rPr>
          <w:rFonts w:cs="Times New Roman"/>
        </w:rPr>
      </w:pPr>
      <w:r w:rsidRPr="00865B3C">
        <w:rPr>
          <w:rFonts w:cs="Times New Roman"/>
        </w:rPr>
        <w:t xml:space="preserve">Jako člen skupiny Raiffeisenbank International je </w:t>
      </w:r>
      <w:r w:rsidR="00602BE6">
        <w:rPr>
          <w:rFonts w:cs="Times New Roman"/>
        </w:rPr>
        <w:t>Emitent</w:t>
      </w:r>
      <w:r w:rsidR="00BA322A">
        <w:rPr>
          <w:rFonts w:cs="Times New Roman"/>
        </w:rPr>
        <w:t xml:space="preserve"> rovněž vázán</w:t>
      </w:r>
      <w:r w:rsidRPr="00865B3C">
        <w:rPr>
          <w:rFonts w:cs="Times New Roman"/>
        </w:rPr>
        <w:t xml:space="preserve"> Etickým kodexem RBI, který stanovuje základní hodnoty </w:t>
      </w:r>
      <w:r w:rsidR="00602BE6">
        <w:rPr>
          <w:rFonts w:cs="Times New Roman"/>
        </w:rPr>
        <w:t>Emitenta</w:t>
      </w:r>
      <w:r w:rsidRPr="00865B3C">
        <w:rPr>
          <w:rFonts w:cs="Times New Roman"/>
        </w:rPr>
        <w:t xml:space="preserve"> a představuje základ firemní kultury, která je v souladu se zákony a je postavena na etických principech. Cílem skupiny není jen poskytování bankovních služeb v nejvyšší kvalitě, ale také udržitelné řízení společnosti a s tím spojená společenská odpovědnost. Role </w:t>
      </w:r>
      <w:r w:rsidR="00697A72">
        <w:rPr>
          <w:rFonts w:cs="Times New Roman"/>
        </w:rPr>
        <w:t>Emitenta</w:t>
      </w:r>
      <w:r w:rsidRPr="00865B3C">
        <w:rPr>
          <w:rFonts w:cs="Times New Roman"/>
        </w:rPr>
        <w:t xml:space="preserve"> ve světě obchodu je charakteristická odpovědností vůči všem zúčastněným, zejména vůči zákazníkům, zaměstnancům, akcionářům, jakož i celé skupině R</w:t>
      </w:r>
      <w:r w:rsidR="00697A72">
        <w:rPr>
          <w:rFonts w:cs="Times New Roman"/>
        </w:rPr>
        <w:t>BI</w:t>
      </w:r>
      <w:r w:rsidRPr="00865B3C">
        <w:rPr>
          <w:rFonts w:cs="Times New Roman"/>
        </w:rPr>
        <w:t>. Eticky kodex je závazný interně a neukládá žádná práva či povinnosti třetím stranám, očekává se však, že všichni obchodní partneři a spolupracující třetí strany jednající v zastoupení nebo jménem skupiny RBI přijmou pravidla a standardy obsažené v tomto Etickém kodexu nebo pravidla jim podobná.</w:t>
      </w:r>
    </w:p>
    <w:p w14:paraId="14502F56" w14:textId="62C70BC6" w:rsidR="002C0C56" w:rsidRPr="00865B3C" w:rsidRDefault="00697A72" w:rsidP="00856149">
      <w:pPr>
        <w:spacing w:line="276" w:lineRule="auto"/>
        <w:jc w:val="both"/>
        <w:rPr>
          <w:rFonts w:cs="Times New Roman"/>
        </w:rPr>
      </w:pPr>
      <w:r>
        <w:rPr>
          <w:rFonts w:cs="Times New Roman"/>
        </w:rPr>
        <w:t>Emi</w:t>
      </w:r>
      <w:r w:rsidR="00EB6B41">
        <w:rPr>
          <w:rFonts w:cs="Times New Roman"/>
        </w:rPr>
        <w:t>t</w:t>
      </w:r>
      <w:r>
        <w:rPr>
          <w:rFonts w:cs="Times New Roman"/>
        </w:rPr>
        <w:t>ent</w:t>
      </w:r>
      <w:r w:rsidR="002C0C56" w:rsidRPr="00865B3C">
        <w:rPr>
          <w:rFonts w:cs="Times New Roman"/>
        </w:rPr>
        <w:t xml:space="preserve"> taktéž přistoupil ke Kodexu chování mezi bankami a klienty, a to jako jedna z prvních bank v České republice. Základním motivem vytvoření celého Kodexu je poskytnout klientům dostatečný přístup k informacím a udržovat vůči nim vysoký standard chování, na který se mohou kdykoli spolehnout. Kodex především zajišťuje klientům právo na získání informací.</w:t>
      </w:r>
    </w:p>
    <w:p w14:paraId="6334A0BA" w14:textId="07D27AFA" w:rsidR="00FE63CA" w:rsidRDefault="00FE63CA">
      <w:pPr>
        <w:rPr>
          <w:rFonts w:cs="Times New Roman"/>
        </w:rPr>
      </w:pPr>
      <w:r>
        <w:rPr>
          <w:rFonts w:cs="Times New Roman"/>
        </w:rPr>
        <w:br w:type="page"/>
      </w:r>
    </w:p>
    <w:p w14:paraId="056A9A33" w14:textId="77777777" w:rsidR="00517C82" w:rsidRDefault="00517C82" w:rsidP="00084FCF">
      <w:pPr>
        <w:pStyle w:val="Heading1"/>
        <w:numPr>
          <w:ilvl w:val="0"/>
          <w:numId w:val="0"/>
        </w:numPr>
        <w:spacing w:line="276" w:lineRule="auto"/>
        <w:jc w:val="both"/>
        <w:rPr>
          <w:rFonts w:cs="Times New Roman"/>
        </w:rPr>
        <w:sectPr w:rsidR="00517C82" w:rsidSect="00A82BBA">
          <w:footerReference w:type="default" r:id="rId15"/>
          <w:pgSz w:w="11906" w:h="16838"/>
          <w:pgMar w:top="1417" w:right="1417" w:bottom="1417" w:left="1417" w:header="708" w:footer="708" w:gutter="0"/>
          <w:pgNumType w:start="1"/>
          <w:cols w:space="708"/>
          <w:docGrid w:linePitch="360"/>
        </w:sectPr>
      </w:pPr>
    </w:p>
    <w:p w14:paraId="1CF8EDA4" w14:textId="5D056563" w:rsidR="00C4331A" w:rsidRDefault="00C4331A" w:rsidP="00C4331A">
      <w:pPr>
        <w:pStyle w:val="Heading1"/>
        <w:spacing w:line="276" w:lineRule="auto"/>
        <w:ind w:left="708"/>
        <w:jc w:val="both"/>
      </w:pPr>
      <w:bookmarkStart w:id="28" w:name="_Toc46755381"/>
      <w:r>
        <w:rPr>
          <w:rFonts w:cs="Times New Roman"/>
        </w:rPr>
        <w:lastRenderedPageBreak/>
        <w:t xml:space="preserve">Příloha č. </w:t>
      </w:r>
      <w:r w:rsidR="00084FCF">
        <w:rPr>
          <w:rFonts w:cs="Times New Roman"/>
        </w:rPr>
        <w:t>1</w:t>
      </w:r>
      <w:bookmarkStart w:id="29" w:name="_GoBack"/>
      <w:bookmarkEnd w:id="29"/>
      <w:r>
        <w:rPr>
          <w:rFonts w:cs="Times New Roman"/>
        </w:rPr>
        <w:t xml:space="preserve"> – Vlastnická struktura Emitenta</w:t>
      </w:r>
      <w:bookmarkEnd w:id="28"/>
    </w:p>
    <w:p w14:paraId="7B98F191" w14:textId="714DD58B" w:rsidR="0021493A" w:rsidRDefault="00517C82" w:rsidP="00C4331A">
      <w:r>
        <w:rPr>
          <w:noProof/>
          <w:lang w:eastAsia="cs-CZ"/>
        </w:rPr>
        <w:drawing>
          <wp:anchor distT="0" distB="0" distL="114300" distR="114300" simplePos="0" relativeHeight="251658240" behindDoc="0" locked="0" layoutInCell="1" allowOverlap="1" wp14:anchorId="666025BF" wp14:editId="2700370C">
            <wp:simplePos x="0" y="0"/>
            <wp:positionH relativeFrom="column">
              <wp:posOffset>-53340</wp:posOffset>
            </wp:positionH>
            <wp:positionV relativeFrom="paragraph">
              <wp:posOffset>187325</wp:posOffset>
            </wp:positionV>
            <wp:extent cx="8848725" cy="5172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48725" cy="5172075"/>
                    </a:xfrm>
                    <a:prstGeom prst="rect">
                      <a:avLst/>
                    </a:prstGeom>
                    <a:noFill/>
                  </pic:spPr>
                </pic:pic>
              </a:graphicData>
            </a:graphic>
            <wp14:sizeRelH relativeFrom="margin">
              <wp14:pctWidth>0</wp14:pctWidth>
            </wp14:sizeRelH>
            <wp14:sizeRelV relativeFrom="margin">
              <wp14:pctHeight>0</wp14:pctHeight>
            </wp14:sizeRelV>
          </wp:anchor>
        </w:drawing>
      </w:r>
    </w:p>
    <w:sectPr w:rsidR="0021493A" w:rsidSect="00517C82">
      <w:footerReference w:type="default" r:id="rId1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CAF42" w14:textId="77777777" w:rsidR="007265CC" w:rsidRDefault="007265CC" w:rsidP="006F0BBA">
      <w:pPr>
        <w:spacing w:after="0" w:line="240" w:lineRule="auto"/>
      </w:pPr>
      <w:r>
        <w:separator/>
      </w:r>
    </w:p>
  </w:endnote>
  <w:endnote w:type="continuationSeparator" w:id="0">
    <w:p w14:paraId="7E7B34CE" w14:textId="77777777" w:rsidR="007265CC" w:rsidRDefault="007265CC" w:rsidP="006F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8B21" w14:textId="77777777" w:rsidR="00084FCF" w:rsidRDefault="00084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2F10" w14:textId="77777777" w:rsidR="00084FCF" w:rsidRDefault="00084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04A9" w14:textId="77777777" w:rsidR="00084FCF" w:rsidRDefault="00084F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73880"/>
      <w:docPartObj>
        <w:docPartGallery w:val="Page Numbers (Bottom of Page)"/>
        <w:docPartUnique/>
      </w:docPartObj>
    </w:sdtPr>
    <w:sdtEndPr/>
    <w:sdtContent>
      <w:p w14:paraId="48AB5B8B" w14:textId="79F29BBE" w:rsidR="007265CC" w:rsidRDefault="007265CC">
        <w:pPr>
          <w:pStyle w:val="Footer"/>
          <w:jc w:val="right"/>
        </w:pPr>
        <w:r>
          <w:fldChar w:fldCharType="begin"/>
        </w:r>
        <w:r>
          <w:instrText>PAGE   \* MERGEFORMAT</w:instrText>
        </w:r>
        <w:r>
          <w:fldChar w:fldCharType="separate"/>
        </w:r>
        <w:r w:rsidR="00AA77D8">
          <w:rPr>
            <w:noProof/>
          </w:rPr>
          <w:t>16</w:t>
        </w:r>
        <w:r>
          <w:fldChar w:fldCharType="end"/>
        </w:r>
      </w:p>
    </w:sdtContent>
  </w:sdt>
  <w:p w14:paraId="4DF2B849" w14:textId="77777777" w:rsidR="007265CC" w:rsidRDefault="007265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749262"/>
      <w:docPartObj>
        <w:docPartGallery w:val="Page Numbers (Bottom of Page)"/>
        <w:docPartUnique/>
      </w:docPartObj>
    </w:sdtPr>
    <w:sdtEndPr/>
    <w:sdtContent>
      <w:p w14:paraId="512D761C" w14:textId="15993B35" w:rsidR="007265CC" w:rsidRDefault="007265CC">
        <w:pPr>
          <w:pStyle w:val="Footer"/>
          <w:jc w:val="right"/>
        </w:pPr>
        <w:r>
          <w:fldChar w:fldCharType="begin"/>
        </w:r>
        <w:r>
          <w:instrText>PAGE   \* MERGEFORMAT</w:instrText>
        </w:r>
        <w:r>
          <w:fldChar w:fldCharType="separate"/>
        </w:r>
        <w:r w:rsidR="00AA77D8">
          <w:rPr>
            <w:noProof/>
          </w:rPr>
          <w:t>17</w:t>
        </w:r>
        <w:r>
          <w:fldChar w:fldCharType="end"/>
        </w:r>
      </w:p>
    </w:sdtContent>
  </w:sdt>
  <w:p w14:paraId="5818F3FA" w14:textId="77777777" w:rsidR="007265CC" w:rsidRDefault="00726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35D43" w14:textId="77777777" w:rsidR="007265CC" w:rsidRDefault="007265CC" w:rsidP="006F0BBA">
      <w:pPr>
        <w:spacing w:after="0" w:line="240" w:lineRule="auto"/>
      </w:pPr>
      <w:r>
        <w:separator/>
      </w:r>
    </w:p>
  </w:footnote>
  <w:footnote w:type="continuationSeparator" w:id="0">
    <w:p w14:paraId="09DB4FEF" w14:textId="77777777" w:rsidR="007265CC" w:rsidRDefault="007265CC" w:rsidP="006F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8205" w14:textId="77777777" w:rsidR="00084FCF" w:rsidRDefault="00084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2669" w14:textId="77777777" w:rsidR="00084FCF" w:rsidRDefault="00084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FE89" w14:textId="77777777" w:rsidR="00084FCF" w:rsidRDefault="00084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F1E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ED366C"/>
    <w:multiLevelType w:val="multilevel"/>
    <w:tmpl w:val="5D74C9DA"/>
    <w:lvl w:ilvl="0">
      <w:start w:val="1"/>
      <w:numFmt w:val="decimal"/>
      <w:lvlText w:val="%1."/>
      <w:lvlJc w:val="left"/>
      <w:pPr>
        <w:ind w:left="824" w:hanging="708"/>
      </w:pPr>
      <w:rPr>
        <w:rFonts w:hint="default"/>
        <w:b/>
        <w:bCs/>
        <w:spacing w:val="-1"/>
        <w:w w:val="100"/>
        <w:sz w:val="28"/>
        <w:szCs w:val="28"/>
        <w:lang w:val="cs-CZ" w:eastAsia="en-US" w:bidi="ar-SA"/>
      </w:rPr>
    </w:lvl>
    <w:lvl w:ilvl="1">
      <w:start w:val="1"/>
      <w:numFmt w:val="decimal"/>
      <w:lvlText w:val="%1.%2."/>
      <w:lvlJc w:val="left"/>
      <w:pPr>
        <w:ind w:left="824" w:hanging="708"/>
      </w:pPr>
      <w:rPr>
        <w:rFonts w:ascii="Carlito" w:eastAsia="Carlito" w:hAnsi="Carlito" w:cs="Carlito" w:hint="default"/>
        <w:b/>
        <w:bCs/>
        <w:spacing w:val="-13"/>
        <w:w w:val="85"/>
        <w:sz w:val="24"/>
        <w:szCs w:val="24"/>
        <w:lang w:val="cs-CZ" w:eastAsia="en-US" w:bidi="ar-SA"/>
      </w:rPr>
    </w:lvl>
    <w:lvl w:ilvl="2">
      <w:numFmt w:val="bullet"/>
      <w:lvlText w:val=""/>
      <w:lvlJc w:val="left"/>
      <w:pPr>
        <w:ind w:left="829" w:hanging="351"/>
      </w:pPr>
      <w:rPr>
        <w:rFonts w:ascii="Symbol" w:eastAsia="Symbol" w:hAnsi="Symbol" w:cs="Symbol" w:hint="default"/>
        <w:w w:val="100"/>
        <w:sz w:val="22"/>
        <w:szCs w:val="22"/>
        <w:lang w:val="cs-CZ" w:eastAsia="en-US" w:bidi="ar-SA"/>
      </w:rPr>
    </w:lvl>
    <w:lvl w:ilvl="3">
      <w:numFmt w:val="bullet"/>
      <w:lvlText w:val="•"/>
      <w:lvlJc w:val="left"/>
      <w:pPr>
        <w:ind w:left="3491" w:hanging="351"/>
      </w:pPr>
      <w:rPr>
        <w:rFonts w:hint="default"/>
        <w:lang w:val="cs-CZ" w:eastAsia="en-US" w:bidi="ar-SA"/>
      </w:rPr>
    </w:lvl>
    <w:lvl w:ilvl="4">
      <w:numFmt w:val="bullet"/>
      <w:lvlText w:val="•"/>
      <w:lvlJc w:val="left"/>
      <w:pPr>
        <w:ind w:left="4382" w:hanging="351"/>
      </w:pPr>
      <w:rPr>
        <w:rFonts w:hint="default"/>
        <w:lang w:val="cs-CZ" w:eastAsia="en-US" w:bidi="ar-SA"/>
      </w:rPr>
    </w:lvl>
    <w:lvl w:ilvl="5">
      <w:numFmt w:val="bullet"/>
      <w:lvlText w:val="•"/>
      <w:lvlJc w:val="left"/>
      <w:pPr>
        <w:ind w:left="5273" w:hanging="351"/>
      </w:pPr>
      <w:rPr>
        <w:rFonts w:hint="default"/>
        <w:lang w:val="cs-CZ" w:eastAsia="en-US" w:bidi="ar-SA"/>
      </w:rPr>
    </w:lvl>
    <w:lvl w:ilvl="6">
      <w:numFmt w:val="bullet"/>
      <w:lvlText w:val="•"/>
      <w:lvlJc w:val="left"/>
      <w:pPr>
        <w:ind w:left="6163" w:hanging="351"/>
      </w:pPr>
      <w:rPr>
        <w:rFonts w:hint="default"/>
        <w:lang w:val="cs-CZ" w:eastAsia="en-US" w:bidi="ar-SA"/>
      </w:rPr>
    </w:lvl>
    <w:lvl w:ilvl="7">
      <w:numFmt w:val="bullet"/>
      <w:lvlText w:val="•"/>
      <w:lvlJc w:val="left"/>
      <w:pPr>
        <w:ind w:left="7054" w:hanging="351"/>
      </w:pPr>
      <w:rPr>
        <w:rFonts w:hint="default"/>
        <w:lang w:val="cs-CZ" w:eastAsia="en-US" w:bidi="ar-SA"/>
      </w:rPr>
    </w:lvl>
    <w:lvl w:ilvl="8">
      <w:numFmt w:val="bullet"/>
      <w:lvlText w:val="•"/>
      <w:lvlJc w:val="left"/>
      <w:pPr>
        <w:ind w:left="7945" w:hanging="351"/>
      </w:pPr>
      <w:rPr>
        <w:rFonts w:hint="default"/>
        <w:lang w:val="cs-CZ" w:eastAsia="en-US" w:bidi="ar-SA"/>
      </w:rPr>
    </w:lvl>
  </w:abstractNum>
  <w:abstractNum w:abstractNumId="2" w15:restartNumberingAfterBreak="0">
    <w:nsid w:val="4D3819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570ED1"/>
    <w:multiLevelType w:val="multilevel"/>
    <w:tmpl w:val="28F24F0E"/>
    <w:lvl w:ilvl="0">
      <w:start w:val="1"/>
      <w:numFmt w:val="decimal"/>
      <w:pStyle w:val="Heading1"/>
      <w:lvlText w:val="%1."/>
      <w:lvlJc w:val="left"/>
      <w:pPr>
        <w:ind w:left="824" w:hanging="708"/>
      </w:pPr>
      <w:rPr>
        <w:rFonts w:ascii="Times New Roman" w:eastAsia="Carlito" w:hAnsi="Times New Roman" w:cs="Times New Roman" w:hint="default"/>
        <w:b/>
        <w:bCs/>
        <w:spacing w:val="-1"/>
        <w:w w:val="100"/>
        <w:sz w:val="28"/>
        <w:szCs w:val="28"/>
      </w:rPr>
    </w:lvl>
    <w:lvl w:ilvl="1">
      <w:start w:val="1"/>
      <w:numFmt w:val="decimal"/>
      <w:pStyle w:val="Heading2"/>
      <w:lvlText w:val="%1.%2."/>
      <w:lvlJc w:val="left"/>
      <w:pPr>
        <w:ind w:left="824" w:hanging="708"/>
      </w:pPr>
      <w:rPr>
        <w:rFonts w:ascii="Times New Roman Bold" w:eastAsia="Carlito" w:hAnsi="Times New Roman Bold" w:cs="Times New Roman" w:hint="default"/>
        <w:b/>
        <w:bCs/>
        <w:spacing w:val="-13"/>
        <w:w w:val="100"/>
        <w:sz w:val="24"/>
        <w:szCs w:val="24"/>
      </w:rPr>
    </w:lvl>
    <w:lvl w:ilvl="2">
      <w:start w:val="1"/>
      <w:numFmt w:val="decimal"/>
      <w:pStyle w:val="Heading3"/>
      <w:lvlText w:val="%3%2."/>
      <w:lvlJc w:val="left"/>
      <w:pPr>
        <w:ind w:left="829" w:hanging="351"/>
      </w:pPr>
      <w:rPr>
        <w:rFonts w:hint="default"/>
        <w:w w:val="100"/>
        <w:sz w:val="22"/>
      </w:rPr>
    </w:lvl>
    <w:lvl w:ilvl="3">
      <w:numFmt w:val="bullet"/>
      <w:lvlText w:val="•"/>
      <w:lvlJc w:val="left"/>
      <w:pPr>
        <w:ind w:left="3491" w:hanging="351"/>
      </w:pPr>
      <w:rPr>
        <w:rFonts w:hint="default"/>
      </w:rPr>
    </w:lvl>
    <w:lvl w:ilvl="4">
      <w:numFmt w:val="bullet"/>
      <w:lvlText w:val="•"/>
      <w:lvlJc w:val="left"/>
      <w:pPr>
        <w:ind w:left="4382" w:hanging="351"/>
      </w:pPr>
      <w:rPr>
        <w:rFonts w:hint="default"/>
      </w:rPr>
    </w:lvl>
    <w:lvl w:ilvl="5">
      <w:numFmt w:val="bullet"/>
      <w:lvlText w:val="•"/>
      <w:lvlJc w:val="left"/>
      <w:pPr>
        <w:ind w:left="5273" w:hanging="351"/>
      </w:pPr>
      <w:rPr>
        <w:rFonts w:hint="default"/>
      </w:rPr>
    </w:lvl>
    <w:lvl w:ilvl="6">
      <w:numFmt w:val="bullet"/>
      <w:lvlText w:val="•"/>
      <w:lvlJc w:val="left"/>
      <w:pPr>
        <w:ind w:left="6163" w:hanging="351"/>
      </w:pPr>
      <w:rPr>
        <w:rFonts w:hint="default"/>
      </w:rPr>
    </w:lvl>
    <w:lvl w:ilvl="7">
      <w:numFmt w:val="bullet"/>
      <w:lvlText w:val="•"/>
      <w:lvlJc w:val="left"/>
      <w:pPr>
        <w:ind w:left="7054" w:hanging="351"/>
      </w:pPr>
      <w:rPr>
        <w:rFonts w:hint="default"/>
      </w:rPr>
    </w:lvl>
    <w:lvl w:ilvl="8">
      <w:numFmt w:val="bullet"/>
      <w:lvlText w:val="•"/>
      <w:lvlJc w:val="left"/>
      <w:pPr>
        <w:ind w:left="7945" w:hanging="351"/>
      </w:pPr>
      <w:rPr>
        <w:rFonts w:hint="default"/>
      </w:rPr>
    </w:lvl>
  </w:abstractNum>
  <w:num w:numId="1">
    <w:abstractNumId w:val="2"/>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23"/>
    <w:rsid w:val="00000323"/>
    <w:rsid w:val="00084FCF"/>
    <w:rsid w:val="00090E8B"/>
    <w:rsid w:val="0009280E"/>
    <w:rsid w:val="000A5F15"/>
    <w:rsid w:val="000B08C7"/>
    <w:rsid w:val="000C6D57"/>
    <w:rsid w:val="000D6C00"/>
    <w:rsid w:val="00101D98"/>
    <w:rsid w:val="00114E5B"/>
    <w:rsid w:val="00156528"/>
    <w:rsid w:val="001E30A7"/>
    <w:rsid w:val="001E7A25"/>
    <w:rsid w:val="001F75D2"/>
    <w:rsid w:val="0021493A"/>
    <w:rsid w:val="0021513D"/>
    <w:rsid w:val="002A36E7"/>
    <w:rsid w:val="002C0C56"/>
    <w:rsid w:val="002C4B5E"/>
    <w:rsid w:val="00320EE0"/>
    <w:rsid w:val="003424E3"/>
    <w:rsid w:val="00367915"/>
    <w:rsid w:val="00384856"/>
    <w:rsid w:val="003D513C"/>
    <w:rsid w:val="004071F0"/>
    <w:rsid w:val="0042091E"/>
    <w:rsid w:val="004B68AE"/>
    <w:rsid w:val="004C00D7"/>
    <w:rsid w:val="004C2353"/>
    <w:rsid w:val="00517C82"/>
    <w:rsid w:val="00521C8B"/>
    <w:rsid w:val="005303A3"/>
    <w:rsid w:val="005424AB"/>
    <w:rsid w:val="005568D1"/>
    <w:rsid w:val="005768E5"/>
    <w:rsid w:val="005B43B1"/>
    <w:rsid w:val="005C291B"/>
    <w:rsid w:val="005E6FB2"/>
    <w:rsid w:val="00602BE6"/>
    <w:rsid w:val="00613D97"/>
    <w:rsid w:val="00654C12"/>
    <w:rsid w:val="006717BF"/>
    <w:rsid w:val="00692B64"/>
    <w:rsid w:val="00696FA4"/>
    <w:rsid w:val="00697A72"/>
    <w:rsid w:val="006A7025"/>
    <w:rsid w:val="006B575B"/>
    <w:rsid w:val="006C0FF5"/>
    <w:rsid w:val="006F0BBA"/>
    <w:rsid w:val="0071162E"/>
    <w:rsid w:val="007265CC"/>
    <w:rsid w:val="007726EF"/>
    <w:rsid w:val="00791639"/>
    <w:rsid w:val="007D20FB"/>
    <w:rsid w:val="007F5559"/>
    <w:rsid w:val="00811F43"/>
    <w:rsid w:val="00856149"/>
    <w:rsid w:val="00865B3C"/>
    <w:rsid w:val="00867E68"/>
    <w:rsid w:val="00876F6D"/>
    <w:rsid w:val="008D3F83"/>
    <w:rsid w:val="008F6DF4"/>
    <w:rsid w:val="0094230E"/>
    <w:rsid w:val="009477EB"/>
    <w:rsid w:val="0095155C"/>
    <w:rsid w:val="009E1FE2"/>
    <w:rsid w:val="009F220D"/>
    <w:rsid w:val="00A52403"/>
    <w:rsid w:val="00A6115E"/>
    <w:rsid w:val="00A81163"/>
    <w:rsid w:val="00A82BBA"/>
    <w:rsid w:val="00A900B2"/>
    <w:rsid w:val="00A933A7"/>
    <w:rsid w:val="00A94F64"/>
    <w:rsid w:val="00AA77D8"/>
    <w:rsid w:val="00AE2EBF"/>
    <w:rsid w:val="00AF3BAB"/>
    <w:rsid w:val="00B30905"/>
    <w:rsid w:val="00B679CC"/>
    <w:rsid w:val="00BA1CC2"/>
    <w:rsid w:val="00BA322A"/>
    <w:rsid w:val="00BB02B7"/>
    <w:rsid w:val="00BD4682"/>
    <w:rsid w:val="00BE7347"/>
    <w:rsid w:val="00C4331A"/>
    <w:rsid w:val="00DB578E"/>
    <w:rsid w:val="00E23C09"/>
    <w:rsid w:val="00E41FCF"/>
    <w:rsid w:val="00E5302F"/>
    <w:rsid w:val="00E85C51"/>
    <w:rsid w:val="00EB2242"/>
    <w:rsid w:val="00EB41B7"/>
    <w:rsid w:val="00EB6B41"/>
    <w:rsid w:val="00EE468E"/>
    <w:rsid w:val="00EE7F7B"/>
    <w:rsid w:val="00F33066"/>
    <w:rsid w:val="00F96AF6"/>
    <w:rsid w:val="00FE6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ABFAA"/>
  <w15:chartTrackingRefBased/>
  <w15:docId w15:val="{DE45BB29-5098-4D49-AD80-15D3077A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23"/>
    <w:rPr>
      <w:rFonts w:ascii="Times New Roman" w:hAnsi="Times New Roman"/>
    </w:rPr>
  </w:style>
  <w:style w:type="paragraph" w:styleId="Heading1">
    <w:name w:val="heading 1"/>
    <w:basedOn w:val="Normal"/>
    <w:next w:val="Normal"/>
    <w:link w:val="Heading1Char"/>
    <w:uiPriority w:val="9"/>
    <w:qFormat/>
    <w:rsid w:val="00A6115E"/>
    <w:pPr>
      <w:keepNext/>
      <w:keepLines/>
      <w:numPr>
        <w:numId w:val="2"/>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B43B1"/>
    <w:pPr>
      <w:keepNext/>
      <w:keepLines/>
      <w:numPr>
        <w:ilvl w:val="1"/>
        <w:numId w:val="2"/>
      </w:numPr>
      <w:spacing w:before="40" w:after="0"/>
      <w:ind w:left="708"/>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6C0FF5"/>
    <w:pPr>
      <w:keepNext/>
      <w:keepLines/>
      <w:numPr>
        <w:ilvl w:val="2"/>
        <w:numId w:val="2"/>
      </w:numPr>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15E"/>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B43B1"/>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semiHidden/>
    <w:rsid w:val="006C0FF5"/>
    <w:rPr>
      <w:rFonts w:asciiTheme="majorHAnsi" w:eastAsiaTheme="majorEastAsia" w:hAnsiTheme="majorHAnsi" w:cstheme="majorBidi"/>
      <w:sz w:val="24"/>
      <w:szCs w:val="24"/>
    </w:rPr>
  </w:style>
  <w:style w:type="paragraph" w:styleId="BodyText">
    <w:name w:val="Body Text"/>
    <w:basedOn w:val="Normal"/>
    <w:link w:val="BodyTextChar"/>
    <w:uiPriority w:val="1"/>
    <w:qFormat/>
    <w:rsid w:val="0000032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00323"/>
    <w:rPr>
      <w:rFonts w:ascii="Arial" w:eastAsia="Arial" w:hAnsi="Arial" w:cs="Arial"/>
    </w:rPr>
  </w:style>
  <w:style w:type="table" w:styleId="TableGrid">
    <w:name w:val="Table Grid"/>
    <w:basedOn w:val="TableNormal"/>
    <w:uiPriority w:val="39"/>
    <w:rsid w:val="0000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
    <w:name w:val="Doctext"/>
    <w:qFormat/>
    <w:rsid w:val="00F96AF6"/>
    <w:pPr>
      <w:spacing w:before="240" w:after="0" w:line="260" w:lineRule="atLeast"/>
      <w:jc w:val="both"/>
    </w:pPr>
    <w:rPr>
      <w:rFonts w:ascii="Times New Roman" w:eastAsia="Calibri" w:hAnsi="Times New Roman" w:cs="Times New Roman"/>
      <w:lang w:val="en-US"/>
    </w:rPr>
  </w:style>
  <w:style w:type="paragraph" w:styleId="ListParagraph">
    <w:name w:val="List Paragraph"/>
    <w:basedOn w:val="Normal"/>
    <w:uiPriority w:val="1"/>
    <w:qFormat/>
    <w:rsid w:val="006C0FF5"/>
    <w:pPr>
      <w:ind w:left="720"/>
      <w:contextualSpacing/>
    </w:pPr>
  </w:style>
  <w:style w:type="character" w:styleId="CommentReference">
    <w:name w:val="annotation reference"/>
    <w:basedOn w:val="DefaultParagraphFont"/>
    <w:uiPriority w:val="99"/>
    <w:semiHidden/>
    <w:unhideWhenUsed/>
    <w:rsid w:val="00BB02B7"/>
    <w:rPr>
      <w:sz w:val="16"/>
      <w:szCs w:val="16"/>
    </w:rPr>
  </w:style>
  <w:style w:type="paragraph" w:styleId="CommentText">
    <w:name w:val="annotation text"/>
    <w:basedOn w:val="Normal"/>
    <w:link w:val="CommentTextChar"/>
    <w:uiPriority w:val="99"/>
    <w:semiHidden/>
    <w:unhideWhenUsed/>
    <w:rsid w:val="00BB02B7"/>
    <w:pPr>
      <w:spacing w:line="240" w:lineRule="auto"/>
    </w:pPr>
    <w:rPr>
      <w:sz w:val="20"/>
      <w:szCs w:val="20"/>
    </w:rPr>
  </w:style>
  <w:style w:type="character" w:customStyle="1" w:styleId="CommentTextChar">
    <w:name w:val="Comment Text Char"/>
    <w:basedOn w:val="DefaultParagraphFont"/>
    <w:link w:val="CommentText"/>
    <w:uiPriority w:val="99"/>
    <w:semiHidden/>
    <w:rsid w:val="00BB02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02B7"/>
    <w:rPr>
      <w:b/>
      <w:bCs/>
    </w:rPr>
  </w:style>
  <w:style w:type="character" w:customStyle="1" w:styleId="CommentSubjectChar">
    <w:name w:val="Comment Subject Char"/>
    <w:basedOn w:val="CommentTextChar"/>
    <w:link w:val="CommentSubject"/>
    <w:uiPriority w:val="99"/>
    <w:semiHidden/>
    <w:rsid w:val="00BB02B7"/>
    <w:rPr>
      <w:rFonts w:ascii="Times New Roman" w:hAnsi="Times New Roman"/>
      <w:b/>
      <w:bCs/>
      <w:sz w:val="20"/>
      <w:szCs w:val="20"/>
    </w:rPr>
  </w:style>
  <w:style w:type="paragraph" w:styleId="BalloonText">
    <w:name w:val="Balloon Text"/>
    <w:basedOn w:val="Normal"/>
    <w:link w:val="BalloonTextChar"/>
    <w:uiPriority w:val="99"/>
    <w:semiHidden/>
    <w:unhideWhenUsed/>
    <w:rsid w:val="00BB0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B7"/>
    <w:rPr>
      <w:rFonts w:ascii="Segoe UI" w:hAnsi="Segoe UI" w:cs="Segoe UI"/>
      <w:sz w:val="18"/>
      <w:szCs w:val="18"/>
    </w:rPr>
  </w:style>
  <w:style w:type="paragraph" w:customStyle="1" w:styleId="xl74">
    <w:name w:val="xl74"/>
    <w:basedOn w:val="Normal"/>
    <w:rsid w:val="00811F43"/>
    <w:pPr>
      <w:spacing w:before="100" w:beforeAutospacing="1" w:after="100" w:afterAutospacing="1" w:line="240" w:lineRule="auto"/>
    </w:pPr>
    <w:rPr>
      <w:rFonts w:ascii="Times" w:eastAsia="Arial Unicode MS" w:hAnsi="Times" w:cs="Arial Unicode MS"/>
      <w:color w:val="000000"/>
      <w:sz w:val="20"/>
      <w:szCs w:val="20"/>
      <w:lang w:val="en-US"/>
    </w:rPr>
  </w:style>
  <w:style w:type="paragraph" w:styleId="TOCHeading">
    <w:name w:val="TOC Heading"/>
    <w:basedOn w:val="Heading1"/>
    <w:next w:val="Normal"/>
    <w:uiPriority w:val="39"/>
    <w:unhideWhenUsed/>
    <w:qFormat/>
    <w:rsid w:val="00E85C51"/>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85C51"/>
    <w:pPr>
      <w:spacing w:after="100"/>
    </w:pPr>
  </w:style>
  <w:style w:type="paragraph" w:styleId="TOC2">
    <w:name w:val="toc 2"/>
    <w:basedOn w:val="Normal"/>
    <w:next w:val="Normal"/>
    <w:autoRedefine/>
    <w:uiPriority w:val="39"/>
    <w:unhideWhenUsed/>
    <w:rsid w:val="00E85C51"/>
    <w:pPr>
      <w:spacing w:after="100"/>
      <w:ind w:left="220"/>
    </w:pPr>
  </w:style>
  <w:style w:type="character" w:styleId="Hyperlink">
    <w:name w:val="Hyperlink"/>
    <w:basedOn w:val="DefaultParagraphFont"/>
    <w:uiPriority w:val="99"/>
    <w:unhideWhenUsed/>
    <w:rsid w:val="00E85C51"/>
    <w:rPr>
      <w:color w:val="0563C1" w:themeColor="hyperlink"/>
      <w:u w:val="single"/>
    </w:rPr>
  </w:style>
  <w:style w:type="paragraph" w:customStyle="1" w:styleId="Default">
    <w:name w:val="Default"/>
    <w:rsid w:val="00EB224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17C82"/>
    <w:pPr>
      <w:spacing w:before="100" w:beforeAutospacing="1" w:after="100" w:afterAutospacing="1" w:line="240" w:lineRule="auto"/>
    </w:pPr>
    <w:rPr>
      <w:rFonts w:eastAsiaTheme="minorEastAsia" w:cs="Times New Roman"/>
      <w:sz w:val="24"/>
      <w:szCs w:val="24"/>
      <w:lang w:eastAsia="cs-CZ"/>
    </w:rPr>
  </w:style>
  <w:style w:type="paragraph" w:styleId="Header">
    <w:name w:val="header"/>
    <w:basedOn w:val="Normal"/>
    <w:link w:val="HeaderChar"/>
    <w:uiPriority w:val="99"/>
    <w:unhideWhenUsed/>
    <w:rsid w:val="006F0B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0BBA"/>
    <w:rPr>
      <w:rFonts w:ascii="Times New Roman" w:hAnsi="Times New Roman"/>
    </w:rPr>
  </w:style>
  <w:style w:type="paragraph" w:styleId="Footer">
    <w:name w:val="footer"/>
    <w:basedOn w:val="Normal"/>
    <w:link w:val="FooterChar"/>
    <w:uiPriority w:val="99"/>
    <w:unhideWhenUsed/>
    <w:rsid w:val="006F0B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0BB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b.cz/o-nas/kdo-jsme/vysledky-hospodareni/vyrocni-zpra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00A1-313B-4611-A213-EACA3589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Raiffeisenbank a.s.</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Kubu 2</dc:creator>
  <cp:keywords/>
  <dc:description/>
  <cp:lastModifiedBy>Miroslav Svoboda 2</cp:lastModifiedBy>
  <cp:revision>2</cp:revision>
  <cp:lastPrinted>2020-08-03T09:01:00Z</cp:lastPrinted>
  <dcterms:created xsi:type="dcterms:W3CDTF">2020-11-12T11:11:00Z</dcterms:created>
  <dcterms:modified xsi:type="dcterms:W3CDTF">2020-11-12T11:11:00Z</dcterms:modified>
</cp:coreProperties>
</file>