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E6E" w:rsidRDefault="00D06E6E" w:rsidP="00B90CA0">
      <w:pPr>
        <w:pStyle w:val="AODocTxt"/>
      </w:pPr>
      <w:bookmarkStart w:id="0" w:name="bmkStart"/>
      <w:bookmarkEnd w:id="0"/>
    </w:p>
    <w:p w:rsidR="001114C6" w:rsidRDefault="00CC0146" w:rsidP="00CC0146">
      <w:pPr>
        <w:pStyle w:val="AOFPTxtCaps"/>
      </w:pPr>
      <w:r w:rsidRPr="00C11332">
        <w:t xml:space="preserve">Úplné znění Emisních podmínek dluhopisů </w:t>
      </w:r>
      <w:r>
        <w:br/>
      </w:r>
      <w:r w:rsidR="001114C6" w:rsidRPr="007B0024">
        <w:rPr>
          <w:sz w:val="24"/>
        </w:rPr>
        <w:t>HZL RBCZ CRR 1.00/30</w:t>
      </w:r>
    </w:p>
    <w:p w:rsidR="00CC0146" w:rsidRPr="00C11332" w:rsidRDefault="00CC0146" w:rsidP="001114C6">
      <w:pPr>
        <w:pStyle w:val="AOFPTxtCaps"/>
      </w:pPr>
    </w:p>
    <w:p w:rsidR="00CC0146" w:rsidRPr="00C11332" w:rsidRDefault="00B90CA0" w:rsidP="00CC0146">
      <w:pPr>
        <w:pStyle w:val="AOFPTxt"/>
      </w:pPr>
      <w:proofErr w:type="spellStart"/>
      <w:r w:rsidRPr="00B90CA0">
        <w:t>Raiffeisenbank</w:t>
      </w:r>
      <w:proofErr w:type="spellEnd"/>
      <w:r w:rsidR="00CC0146" w:rsidRPr="00C11332">
        <w:t xml:space="preserve"> a.s.</w:t>
      </w:r>
    </w:p>
    <w:p w:rsidR="00CC0146" w:rsidRPr="00C11332" w:rsidRDefault="00CC0146" w:rsidP="00CC0146">
      <w:pPr>
        <w:spacing w:line="260" w:lineRule="atLeast"/>
        <w:jc w:val="both"/>
        <w:rPr>
          <w:b/>
          <w:sz w:val="24"/>
          <w:szCs w:val="24"/>
        </w:rPr>
      </w:pPr>
    </w:p>
    <w:p w:rsidR="00CC0146" w:rsidRPr="00723DD2" w:rsidRDefault="00CC0146" w:rsidP="00CC0146">
      <w:pPr>
        <w:spacing w:line="260" w:lineRule="atLeast"/>
        <w:jc w:val="both"/>
        <w:rPr>
          <w:rFonts w:ascii="Times New Roman" w:hAnsi="Times New Roman"/>
          <w:sz w:val="22"/>
          <w:szCs w:val="24"/>
        </w:rPr>
      </w:pPr>
      <w:r w:rsidRPr="00723DD2">
        <w:rPr>
          <w:rFonts w:ascii="Times New Roman" w:hAnsi="Times New Roman"/>
          <w:sz w:val="22"/>
          <w:szCs w:val="24"/>
        </w:rPr>
        <w:t xml:space="preserve">se sídlem </w:t>
      </w:r>
      <w:r w:rsidR="00B90CA0" w:rsidRPr="00723DD2">
        <w:rPr>
          <w:rFonts w:ascii="Times New Roman" w:hAnsi="Times New Roman"/>
          <w:sz w:val="22"/>
          <w:szCs w:val="24"/>
        </w:rPr>
        <w:t>Hvězdova 1716/2b</w:t>
      </w:r>
      <w:r w:rsidRPr="00723DD2">
        <w:rPr>
          <w:rFonts w:ascii="Times New Roman" w:hAnsi="Times New Roman"/>
          <w:sz w:val="22"/>
          <w:szCs w:val="24"/>
        </w:rPr>
        <w:t xml:space="preserve">, Praha 4, 140 </w:t>
      </w:r>
      <w:r w:rsidR="00B90CA0" w:rsidRPr="00723DD2">
        <w:rPr>
          <w:rFonts w:ascii="Times New Roman" w:hAnsi="Times New Roman"/>
          <w:sz w:val="22"/>
          <w:szCs w:val="24"/>
        </w:rPr>
        <w:t>78</w:t>
      </w:r>
      <w:r w:rsidRPr="00723DD2">
        <w:rPr>
          <w:rFonts w:ascii="Times New Roman" w:hAnsi="Times New Roman"/>
          <w:sz w:val="22"/>
          <w:szCs w:val="24"/>
        </w:rPr>
        <w:t xml:space="preserve">, IČO </w:t>
      </w:r>
      <w:r w:rsidR="00B90CA0" w:rsidRPr="00723DD2">
        <w:rPr>
          <w:rFonts w:ascii="Times New Roman" w:hAnsi="Times New Roman"/>
          <w:sz w:val="22"/>
          <w:szCs w:val="24"/>
        </w:rPr>
        <w:t>492 40 901</w:t>
      </w:r>
      <w:r w:rsidRPr="00723DD2">
        <w:rPr>
          <w:rFonts w:ascii="Times New Roman" w:hAnsi="Times New Roman"/>
          <w:sz w:val="22"/>
          <w:szCs w:val="24"/>
        </w:rPr>
        <w:t>, veden</w:t>
      </w:r>
      <w:r w:rsidR="001114C6" w:rsidRPr="00723DD2">
        <w:rPr>
          <w:rFonts w:ascii="Times New Roman" w:hAnsi="Times New Roman"/>
          <w:sz w:val="22"/>
          <w:szCs w:val="24"/>
        </w:rPr>
        <w:t>é</w:t>
      </w:r>
      <w:r w:rsidRPr="00723DD2">
        <w:rPr>
          <w:rFonts w:ascii="Times New Roman" w:hAnsi="Times New Roman"/>
          <w:sz w:val="22"/>
          <w:szCs w:val="24"/>
        </w:rPr>
        <w:t xml:space="preserve"> u Městského soudu v Praze pod </w:t>
      </w:r>
      <w:proofErr w:type="spellStart"/>
      <w:proofErr w:type="gramStart"/>
      <w:r w:rsidRPr="00723DD2">
        <w:rPr>
          <w:rFonts w:ascii="Times New Roman" w:hAnsi="Times New Roman"/>
          <w:sz w:val="22"/>
          <w:szCs w:val="24"/>
        </w:rPr>
        <w:t>sp.zn</w:t>
      </w:r>
      <w:proofErr w:type="spellEnd"/>
      <w:r w:rsidRPr="00723DD2">
        <w:rPr>
          <w:rFonts w:ascii="Times New Roman" w:hAnsi="Times New Roman"/>
          <w:sz w:val="22"/>
          <w:szCs w:val="24"/>
        </w:rPr>
        <w:t>.</w:t>
      </w:r>
      <w:proofErr w:type="gramEnd"/>
      <w:r w:rsidRPr="00723DD2">
        <w:rPr>
          <w:rFonts w:ascii="Times New Roman" w:hAnsi="Times New Roman"/>
          <w:sz w:val="22"/>
          <w:szCs w:val="24"/>
        </w:rPr>
        <w:t xml:space="preserve"> B </w:t>
      </w:r>
      <w:r w:rsidR="00B90CA0" w:rsidRPr="00723DD2">
        <w:rPr>
          <w:rFonts w:ascii="Times New Roman" w:hAnsi="Times New Roman"/>
          <w:sz w:val="22"/>
          <w:szCs w:val="24"/>
        </w:rPr>
        <w:t>205</w:t>
      </w:r>
      <w:r w:rsidR="001114C6" w:rsidRPr="00723DD2">
        <w:rPr>
          <w:rFonts w:ascii="Times New Roman" w:hAnsi="Times New Roman"/>
          <w:sz w:val="22"/>
          <w:szCs w:val="24"/>
        </w:rPr>
        <w:t>1</w:t>
      </w:r>
      <w:r w:rsidRPr="00723DD2">
        <w:rPr>
          <w:rFonts w:ascii="Times New Roman" w:hAnsi="Times New Roman"/>
          <w:sz w:val="22"/>
          <w:szCs w:val="24"/>
        </w:rPr>
        <w:t>, jakožto emitent</w:t>
      </w:r>
      <w:r w:rsidR="001114C6" w:rsidRPr="00723DD2">
        <w:rPr>
          <w:rFonts w:ascii="Times New Roman" w:hAnsi="Times New Roman"/>
          <w:sz w:val="22"/>
          <w:szCs w:val="24"/>
        </w:rPr>
        <w:t>a</w:t>
      </w:r>
      <w:r w:rsidRPr="00723DD2">
        <w:rPr>
          <w:rFonts w:ascii="Times New Roman" w:hAnsi="Times New Roman"/>
          <w:sz w:val="22"/>
          <w:szCs w:val="24"/>
        </w:rPr>
        <w:t xml:space="preserve"> dluhopisů (</w:t>
      </w:r>
      <w:r w:rsidRPr="00723DD2">
        <w:rPr>
          <w:rFonts w:ascii="Times New Roman" w:hAnsi="Times New Roman"/>
          <w:b/>
          <w:sz w:val="22"/>
          <w:szCs w:val="24"/>
        </w:rPr>
        <w:t>Emitent</w:t>
      </w:r>
      <w:r w:rsidRPr="00723DD2">
        <w:rPr>
          <w:rFonts w:ascii="Times New Roman" w:hAnsi="Times New Roman"/>
          <w:sz w:val="22"/>
          <w:szCs w:val="24"/>
        </w:rPr>
        <w:t>):</w:t>
      </w:r>
    </w:p>
    <w:p w:rsidR="00CC0146" w:rsidRPr="00723DD2" w:rsidRDefault="00CC0146" w:rsidP="00CC0146">
      <w:pPr>
        <w:spacing w:line="260" w:lineRule="atLeast"/>
        <w:jc w:val="both"/>
        <w:rPr>
          <w:rFonts w:ascii="Times New Roman" w:hAnsi="Times New Roman"/>
          <w:sz w:val="22"/>
          <w:szCs w:val="24"/>
        </w:rPr>
      </w:pPr>
    </w:p>
    <w:p w:rsidR="00CC0146" w:rsidRPr="00723DD2" w:rsidRDefault="00CC0146" w:rsidP="00CC0146">
      <w:pPr>
        <w:spacing w:line="260" w:lineRule="atLeast"/>
        <w:jc w:val="both"/>
        <w:rPr>
          <w:rFonts w:ascii="Times New Roman" w:hAnsi="Times New Roman"/>
          <w:sz w:val="22"/>
          <w:szCs w:val="24"/>
        </w:rPr>
      </w:pPr>
      <w:r w:rsidRPr="00723DD2">
        <w:rPr>
          <w:rFonts w:ascii="Times New Roman" w:hAnsi="Times New Roman"/>
          <w:sz w:val="22"/>
          <w:szCs w:val="24"/>
        </w:rPr>
        <w:t xml:space="preserve">Název: </w:t>
      </w:r>
      <w:r w:rsidR="00B90CA0" w:rsidRPr="00723DD2">
        <w:rPr>
          <w:rFonts w:ascii="Times New Roman" w:hAnsi="Times New Roman"/>
          <w:sz w:val="18"/>
        </w:rPr>
        <w:t xml:space="preserve"> </w:t>
      </w:r>
      <w:r w:rsidR="00B90CA0" w:rsidRPr="00723DD2">
        <w:rPr>
          <w:rFonts w:ascii="Times New Roman" w:hAnsi="Times New Roman"/>
          <w:sz w:val="22"/>
        </w:rPr>
        <w:t>HZL RBCZ CRR 1.00/30</w:t>
      </w:r>
    </w:p>
    <w:p w:rsidR="00CC0146" w:rsidRPr="00723DD2" w:rsidRDefault="00CC0146" w:rsidP="00CC0146">
      <w:pPr>
        <w:spacing w:line="260" w:lineRule="atLeast"/>
        <w:jc w:val="both"/>
        <w:rPr>
          <w:rFonts w:ascii="Times New Roman" w:hAnsi="Times New Roman"/>
          <w:sz w:val="22"/>
          <w:szCs w:val="24"/>
        </w:rPr>
      </w:pPr>
      <w:r w:rsidRPr="00723DD2">
        <w:rPr>
          <w:rFonts w:ascii="Times New Roman" w:hAnsi="Times New Roman"/>
          <w:sz w:val="22"/>
          <w:szCs w:val="24"/>
        </w:rPr>
        <w:t xml:space="preserve">ISIN: </w:t>
      </w:r>
      <w:r w:rsidR="001114C6" w:rsidRPr="00723DD2">
        <w:rPr>
          <w:rFonts w:ascii="Times New Roman" w:hAnsi="Times New Roman"/>
          <w:sz w:val="18"/>
        </w:rPr>
        <w:t xml:space="preserve"> </w:t>
      </w:r>
      <w:r w:rsidR="001114C6" w:rsidRPr="00723DD2">
        <w:rPr>
          <w:rFonts w:ascii="Times New Roman" w:hAnsi="Times New Roman"/>
          <w:bCs/>
          <w:sz w:val="22"/>
          <w:szCs w:val="24"/>
        </w:rPr>
        <w:t>CZ0002007057</w:t>
      </w:r>
    </w:p>
    <w:p w:rsidR="00CC0146" w:rsidRPr="00723DD2" w:rsidRDefault="00CC0146" w:rsidP="00CC0146">
      <w:pPr>
        <w:spacing w:line="260" w:lineRule="atLeast"/>
        <w:jc w:val="both"/>
        <w:rPr>
          <w:rFonts w:ascii="Times New Roman" w:hAnsi="Times New Roman"/>
          <w:sz w:val="22"/>
          <w:szCs w:val="24"/>
        </w:rPr>
      </w:pPr>
      <w:r w:rsidRPr="00723DD2">
        <w:rPr>
          <w:rFonts w:ascii="Times New Roman" w:hAnsi="Times New Roman"/>
          <w:sz w:val="22"/>
          <w:szCs w:val="24"/>
        </w:rPr>
        <w:t xml:space="preserve">Datum emise: </w:t>
      </w:r>
      <w:r w:rsidR="00AD0F49" w:rsidRPr="00723DD2">
        <w:rPr>
          <w:rFonts w:ascii="Times New Roman" w:hAnsi="Times New Roman"/>
          <w:sz w:val="22"/>
          <w:szCs w:val="24"/>
        </w:rPr>
        <w:t>15. 7. 2020</w:t>
      </w:r>
    </w:p>
    <w:p w:rsidR="00CC0146" w:rsidRPr="00723DD2" w:rsidRDefault="00CC0146" w:rsidP="00CC0146">
      <w:pPr>
        <w:spacing w:line="260" w:lineRule="atLeast"/>
        <w:jc w:val="both"/>
        <w:rPr>
          <w:rFonts w:ascii="Times New Roman" w:hAnsi="Times New Roman"/>
          <w:sz w:val="22"/>
          <w:szCs w:val="24"/>
        </w:rPr>
      </w:pPr>
      <w:r w:rsidRPr="00723DD2">
        <w:rPr>
          <w:rFonts w:ascii="Times New Roman" w:hAnsi="Times New Roman"/>
          <w:sz w:val="22"/>
          <w:szCs w:val="24"/>
        </w:rPr>
        <w:t>(</w:t>
      </w:r>
      <w:r w:rsidRPr="00723DD2">
        <w:rPr>
          <w:rFonts w:ascii="Times New Roman" w:hAnsi="Times New Roman"/>
          <w:b/>
          <w:sz w:val="22"/>
          <w:szCs w:val="24"/>
        </w:rPr>
        <w:t>Dluhopisy</w:t>
      </w:r>
      <w:r w:rsidRPr="00723DD2">
        <w:rPr>
          <w:rFonts w:ascii="Times New Roman" w:hAnsi="Times New Roman"/>
          <w:sz w:val="22"/>
          <w:szCs w:val="24"/>
        </w:rPr>
        <w:t>)</w:t>
      </w:r>
      <w:r w:rsidR="001114C6" w:rsidRPr="00723DD2">
        <w:rPr>
          <w:rFonts w:ascii="Times New Roman" w:hAnsi="Times New Roman"/>
          <w:sz w:val="22"/>
          <w:szCs w:val="24"/>
        </w:rPr>
        <w:t>.</w:t>
      </w:r>
      <w:r w:rsidRPr="00723DD2">
        <w:rPr>
          <w:rFonts w:ascii="Times New Roman" w:hAnsi="Times New Roman"/>
          <w:sz w:val="22"/>
          <w:szCs w:val="24"/>
        </w:rPr>
        <w:t xml:space="preserve"> </w:t>
      </w:r>
    </w:p>
    <w:p w:rsidR="00CC0146" w:rsidRPr="00723DD2" w:rsidRDefault="00CC0146" w:rsidP="00CC0146">
      <w:pPr>
        <w:spacing w:line="260" w:lineRule="atLeast"/>
        <w:jc w:val="both"/>
        <w:rPr>
          <w:rFonts w:ascii="Times New Roman" w:hAnsi="Times New Roman"/>
          <w:sz w:val="22"/>
          <w:szCs w:val="24"/>
        </w:rPr>
      </w:pPr>
    </w:p>
    <w:p w:rsidR="00CC0146" w:rsidRPr="00723DD2" w:rsidRDefault="00CC0146" w:rsidP="00CC0146">
      <w:pPr>
        <w:spacing w:line="260" w:lineRule="atLeast"/>
        <w:jc w:val="both"/>
        <w:rPr>
          <w:rFonts w:ascii="Times New Roman" w:hAnsi="Times New Roman"/>
          <w:sz w:val="22"/>
          <w:szCs w:val="24"/>
        </w:rPr>
      </w:pPr>
      <w:r w:rsidRPr="00723DD2">
        <w:rPr>
          <w:rFonts w:ascii="Times New Roman" w:hAnsi="Times New Roman"/>
          <w:sz w:val="22"/>
          <w:szCs w:val="24"/>
        </w:rPr>
        <w:t>Emitent tímto v souladu s ustanovením § 10 zákona č. 190/2004 Sb., o dluhopisech</w:t>
      </w:r>
      <w:r w:rsidR="00B90CA0" w:rsidRPr="00723DD2">
        <w:rPr>
          <w:rFonts w:ascii="Times New Roman" w:hAnsi="Times New Roman"/>
          <w:sz w:val="22"/>
          <w:szCs w:val="24"/>
        </w:rPr>
        <w:t>,</w:t>
      </w:r>
      <w:r w:rsidRPr="00723DD2">
        <w:rPr>
          <w:rFonts w:ascii="Times New Roman" w:hAnsi="Times New Roman"/>
          <w:sz w:val="22"/>
          <w:szCs w:val="24"/>
        </w:rPr>
        <w:t xml:space="preserve"> ve znění pozdějších předpisů, oznamuje úplné znění </w:t>
      </w:r>
      <w:r w:rsidR="001114C6" w:rsidRPr="00723DD2">
        <w:rPr>
          <w:rFonts w:ascii="Times New Roman" w:hAnsi="Times New Roman"/>
          <w:sz w:val="22"/>
          <w:szCs w:val="24"/>
        </w:rPr>
        <w:t>e</w:t>
      </w:r>
      <w:r w:rsidRPr="00723DD2">
        <w:rPr>
          <w:rFonts w:ascii="Times New Roman" w:hAnsi="Times New Roman"/>
          <w:sz w:val="22"/>
          <w:szCs w:val="24"/>
        </w:rPr>
        <w:t>misních podmínek</w:t>
      </w:r>
      <w:r w:rsidR="001114C6" w:rsidRPr="00723DD2">
        <w:rPr>
          <w:rFonts w:ascii="Times New Roman" w:hAnsi="Times New Roman"/>
          <w:sz w:val="22"/>
          <w:szCs w:val="24"/>
        </w:rPr>
        <w:t xml:space="preserve"> Dluhopisů (</w:t>
      </w:r>
      <w:r w:rsidR="001114C6" w:rsidRPr="00723DD2">
        <w:rPr>
          <w:rFonts w:ascii="Times New Roman" w:hAnsi="Times New Roman"/>
          <w:b/>
          <w:sz w:val="22"/>
          <w:szCs w:val="24"/>
        </w:rPr>
        <w:t>Emisní podmínky</w:t>
      </w:r>
      <w:r w:rsidR="001114C6" w:rsidRPr="00723DD2">
        <w:rPr>
          <w:rFonts w:ascii="Times New Roman" w:hAnsi="Times New Roman"/>
          <w:sz w:val="22"/>
          <w:szCs w:val="24"/>
        </w:rPr>
        <w:t>)</w:t>
      </w:r>
      <w:r w:rsidRPr="00723DD2">
        <w:rPr>
          <w:rFonts w:ascii="Times New Roman" w:hAnsi="Times New Roman"/>
          <w:sz w:val="22"/>
          <w:szCs w:val="24"/>
        </w:rPr>
        <w:t xml:space="preserve"> po změně, ke které došlo na základě rozhodnutí Emitenta ze dne </w:t>
      </w:r>
      <w:proofErr w:type="gramStart"/>
      <w:r w:rsidR="00EE2005">
        <w:rPr>
          <w:rFonts w:ascii="Times New Roman" w:hAnsi="Times New Roman"/>
          <w:sz w:val="22"/>
          <w:szCs w:val="24"/>
        </w:rPr>
        <w:t>1.10</w:t>
      </w:r>
      <w:r w:rsidR="00DB2373">
        <w:rPr>
          <w:rFonts w:ascii="Times New Roman" w:hAnsi="Times New Roman"/>
          <w:sz w:val="22"/>
          <w:szCs w:val="24"/>
        </w:rPr>
        <w:t>.</w:t>
      </w:r>
      <w:r w:rsidRPr="00723DD2">
        <w:rPr>
          <w:rFonts w:ascii="Times New Roman" w:hAnsi="Times New Roman"/>
          <w:sz w:val="22"/>
          <w:szCs w:val="24"/>
        </w:rPr>
        <w:t>2020</w:t>
      </w:r>
      <w:proofErr w:type="gramEnd"/>
      <w:r w:rsidRPr="00723DD2">
        <w:rPr>
          <w:rFonts w:ascii="Times New Roman" w:hAnsi="Times New Roman"/>
          <w:sz w:val="22"/>
          <w:szCs w:val="24"/>
        </w:rPr>
        <w:t xml:space="preserve">. </w:t>
      </w:r>
    </w:p>
    <w:p w:rsidR="001114C6" w:rsidRPr="00723DD2" w:rsidRDefault="001114C6" w:rsidP="00CC0146">
      <w:pPr>
        <w:spacing w:line="260" w:lineRule="atLeast"/>
        <w:jc w:val="both"/>
        <w:rPr>
          <w:rFonts w:ascii="Times New Roman" w:hAnsi="Times New Roman"/>
          <w:sz w:val="22"/>
          <w:szCs w:val="24"/>
        </w:rPr>
      </w:pPr>
    </w:p>
    <w:p w:rsidR="00CC0146" w:rsidRPr="00723DD2" w:rsidRDefault="00CC0146" w:rsidP="00CC0146">
      <w:pPr>
        <w:spacing w:line="260" w:lineRule="atLeast"/>
        <w:jc w:val="both"/>
        <w:rPr>
          <w:rFonts w:ascii="Times New Roman" w:hAnsi="Times New Roman"/>
          <w:sz w:val="22"/>
          <w:szCs w:val="24"/>
        </w:rPr>
      </w:pPr>
      <w:r w:rsidRPr="00723DD2">
        <w:rPr>
          <w:rFonts w:ascii="Times New Roman" w:hAnsi="Times New Roman"/>
          <w:sz w:val="22"/>
          <w:szCs w:val="24"/>
        </w:rPr>
        <w:t xml:space="preserve">Níže Emitent přikládá úplné a změněné znění </w:t>
      </w:r>
      <w:r w:rsidR="00B90CA0" w:rsidRPr="00723DD2">
        <w:rPr>
          <w:rFonts w:ascii="Times New Roman" w:hAnsi="Times New Roman"/>
          <w:sz w:val="22"/>
          <w:szCs w:val="24"/>
        </w:rPr>
        <w:t>E</w:t>
      </w:r>
      <w:r w:rsidRPr="00723DD2">
        <w:rPr>
          <w:rFonts w:ascii="Times New Roman" w:hAnsi="Times New Roman"/>
          <w:sz w:val="22"/>
          <w:szCs w:val="24"/>
        </w:rPr>
        <w:t>misních podmínek</w:t>
      </w:r>
      <w:r w:rsidR="00B90CA0" w:rsidRPr="00723DD2">
        <w:rPr>
          <w:rFonts w:ascii="Times New Roman" w:hAnsi="Times New Roman"/>
          <w:sz w:val="22"/>
          <w:szCs w:val="24"/>
        </w:rPr>
        <w:t>.</w:t>
      </w:r>
    </w:p>
    <w:p w:rsidR="00CC0146" w:rsidRPr="00723DD2" w:rsidRDefault="00CC0146" w:rsidP="00CC0146">
      <w:pPr>
        <w:spacing w:line="260" w:lineRule="atLeast"/>
        <w:rPr>
          <w:rFonts w:ascii="Times New Roman" w:hAnsi="Times New Roman"/>
          <w:sz w:val="22"/>
          <w:szCs w:val="24"/>
        </w:rPr>
      </w:pPr>
    </w:p>
    <w:p w:rsidR="00CC0146" w:rsidRPr="00723DD2" w:rsidRDefault="00CC0146" w:rsidP="00CC0146">
      <w:pPr>
        <w:spacing w:line="260" w:lineRule="atLeast"/>
        <w:rPr>
          <w:rFonts w:ascii="Times New Roman" w:hAnsi="Times New Roman"/>
          <w:sz w:val="22"/>
          <w:szCs w:val="24"/>
        </w:rPr>
      </w:pPr>
      <w:bookmarkStart w:id="1" w:name="_GoBack"/>
      <w:bookmarkEnd w:id="1"/>
    </w:p>
    <w:p w:rsidR="00CC0146" w:rsidRPr="00723DD2" w:rsidRDefault="00CC0146" w:rsidP="00CC0146">
      <w:pPr>
        <w:spacing w:line="260" w:lineRule="atLeast"/>
        <w:rPr>
          <w:rFonts w:ascii="Times New Roman" w:hAnsi="Times New Roman"/>
          <w:sz w:val="22"/>
          <w:szCs w:val="22"/>
        </w:rPr>
      </w:pPr>
      <w:r w:rsidRPr="00723DD2">
        <w:rPr>
          <w:rFonts w:ascii="Times New Roman" w:hAnsi="Times New Roman"/>
          <w:sz w:val="22"/>
          <w:szCs w:val="22"/>
        </w:rPr>
        <w:t>V</w:t>
      </w:r>
      <w:r w:rsidR="001114C6" w:rsidRPr="00723DD2">
        <w:rPr>
          <w:rFonts w:ascii="Times New Roman" w:hAnsi="Times New Roman"/>
          <w:sz w:val="22"/>
          <w:szCs w:val="22"/>
        </w:rPr>
        <w:t> </w:t>
      </w:r>
      <w:r w:rsidRPr="00723DD2">
        <w:rPr>
          <w:rFonts w:ascii="Times New Roman" w:hAnsi="Times New Roman"/>
          <w:sz w:val="22"/>
          <w:szCs w:val="22"/>
        </w:rPr>
        <w:t>Praze</w:t>
      </w:r>
      <w:r w:rsidR="001114C6" w:rsidRPr="00723DD2">
        <w:rPr>
          <w:rFonts w:ascii="Times New Roman" w:hAnsi="Times New Roman"/>
          <w:sz w:val="22"/>
          <w:szCs w:val="22"/>
        </w:rPr>
        <w:t xml:space="preserve"> </w:t>
      </w:r>
      <w:proofErr w:type="gramStart"/>
      <w:r w:rsidR="00EE2005">
        <w:rPr>
          <w:rFonts w:ascii="Times New Roman" w:hAnsi="Times New Roman"/>
          <w:sz w:val="22"/>
          <w:szCs w:val="22"/>
        </w:rPr>
        <w:t>1.10</w:t>
      </w:r>
      <w:r w:rsidR="00DB2373">
        <w:rPr>
          <w:rFonts w:ascii="Times New Roman" w:hAnsi="Times New Roman"/>
          <w:sz w:val="22"/>
          <w:szCs w:val="22"/>
        </w:rPr>
        <w:t>.</w:t>
      </w:r>
      <w:r w:rsidRPr="00723DD2">
        <w:rPr>
          <w:rFonts w:ascii="Times New Roman" w:hAnsi="Times New Roman"/>
          <w:sz w:val="22"/>
          <w:szCs w:val="22"/>
        </w:rPr>
        <w:t>2020</w:t>
      </w:r>
      <w:proofErr w:type="gramEnd"/>
    </w:p>
    <w:p w:rsidR="00CC0146" w:rsidRPr="00723DD2" w:rsidRDefault="00CC0146" w:rsidP="00CC0146">
      <w:pPr>
        <w:spacing w:line="260" w:lineRule="atLeast"/>
        <w:rPr>
          <w:rFonts w:ascii="Times New Roman" w:hAnsi="Times New Roman"/>
          <w:sz w:val="28"/>
          <w:szCs w:val="24"/>
        </w:rPr>
      </w:pPr>
    </w:p>
    <w:p w:rsidR="00CC0146" w:rsidRPr="00723DD2" w:rsidRDefault="00CC0146" w:rsidP="00CC0146">
      <w:pPr>
        <w:spacing w:line="260" w:lineRule="atLeast"/>
        <w:rPr>
          <w:rFonts w:ascii="Times New Roman" w:hAnsi="Times New Roman"/>
          <w:sz w:val="28"/>
          <w:szCs w:val="24"/>
        </w:rPr>
      </w:pPr>
    </w:p>
    <w:p w:rsidR="00CC0146" w:rsidRPr="00723DD2" w:rsidRDefault="00B90CA0" w:rsidP="00CC0146">
      <w:pPr>
        <w:spacing w:line="260" w:lineRule="atLeast"/>
        <w:rPr>
          <w:rFonts w:ascii="Times New Roman" w:hAnsi="Times New Roman"/>
          <w:b/>
          <w:caps/>
          <w:sz w:val="22"/>
          <w:szCs w:val="24"/>
        </w:rPr>
      </w:pPr>
      <w:proofErr w:type="spellStart"/>
      <w:r w:rsidRPr="00723DD2">
        <w:rPr>
          <w:rFonts w:ascii="Times New Roman" w:hAnsi="Times New Roman"/>
          <w:b/>
          <w:sz w:val="22"/>
        </w:rPr>
        <w:t>Raiffeisenbank</w:t>
      </w:r>
      <w:proofErr w:type="spellEnd"/>
      <w:r w:rsidR="00CC0146" w:rsidRPr="00723DD2">
        <w:rPr>
          <w:rFonts w:ascii="Times New Roman" w:hAnsi="Times New Roman"/>
          <w:b/>
          <w:sz w:val="22"/>
        </w:rPr>
        <w:t xml:space="preserve"> a.s.</w:t>
      </w:r>
      <w:r w:rsidR="00CC0146" w:rsidRPr="00723DD2">
        <w:rPr>
          <w:rFonts w:ascii="Times New Roman" w:hAnsi="Times New Roman"/>
          <w:sz w:val="22"/>
          <w:szCs w:val="24"/>
        </w:rPr>
        <w:br w:type="page"/>
      </w:r>
    </w:p>
    <w:p w:rsidR="00B90CA0" w:rsidRPr="00806EEE" w:rsidRDefault="00B90CA0" w:rsidP="00B90CA0">
      <w:pPr>
        <w:pStyle w:val="OutNum1"/>
        <w:numPr>
          <w:ilvl w:val="0"/>
          <w:numId w:val="0"/>
        </w:numPr>
        <w:jc w:val="center"/>
        <w:rPr>
          <w:lang w:val="cs-CZ"/>
        </w:rPr>
      </w:pPr>
      <w:bookmarkStart w:id="2" w:name="_Toc256000017"/>
      <w:bookmarkStart w:id="3" w:name="_Toc373436369"/>
      <w:bookmarkStart w:id="4" w:name="_Toc433993888"/>
      <w:bookmarkStart w:id="5" w:name="_Toc441155768"/>
      <w:bookmarkStart w:id="6" w:name="_Toc441755368"/>
      <w:bookmarkStart w:id="7" w:name="_Toc457259474"/>
      <w:bookmarkStart w:id="8" w:name="_Ref458015685"/>
      <w:bookmarkStart w:id="9" w:name="_Toc468696745"/>
      <w:bookmarkStart w:id="10" w:name="_Toc507159333"/>
      <w:bookmarkStart w:id="11" w:name="_Ref514094410"/>
      <w:bookmarkStart w:id="12" w:name="_Ref10124298"/>
      <w:bookmarkStart w:id="13" w:name="_Ref10124342"/>
      <w:bookmarkStart w:id="14" w:name="_Ref10124366"/>
      <w:bookmarkStart w:id="15" w:name="_Toc17276261"/>
      <w:r w:rsidRPr="00806EEE">
        <w:rPr>
          <w:lang w:val="cs-CZ"/>
        </w:rPr>
        <w:lastRenderedPageBreak/>
        <w:t xml:space="preserve">Emisní podmínky </w:t>
      </w:r>
      <w:bookmarkEnd w:id="2"/>
      <w:bookmarkEnd w:id="3"/>
      <w:bookmarkEnd w:id="4"/>
      <w:bookmarkEnd w:id="5"/>
      <w:bookmarkEnd w:id="6"/>
      <w:bookmarkEnd w:id="7"/>
      <w:bookmarkEnd w:id="8"/>
      <w:bookmarkEnd w:id="9"/>
      <w:bookmarkEnd w:id="10"/>
      <w:bookmarkEnd w:id="11"/>
      <w:bookmarkEnd w:id="12"/>
      <w:bookmarkEnd w:id="13"/>
      <w:bookmarkEnd w:id="14"/>
      <w:bookmarkEnd w:id="15"/>
      <w:r>
        <w:rPr>
          <w:lang w:val="cs-CZ"/>
        </w:rPr>
        <w:t>Krytých dluhopisů CRR</w:t>
      </w:r>
      <w:r w:rsidRPr="00BB190B">
        <w:rPr>
          <w:lang w:val="cs-CZ"/>
        </w:rPr>
        <w:t xml:space="preserve"> </w:t>
      </w:r>
      <w:r w:rsidRPr="00806EEE">
        <w:rPr>
          <w:lang w:val="cs-CZ"/>
        </w:rPr>
        <w:t>Raiffeisenbank a.s.</w:t>
      </w:r>
    </w:p>
    <w:p w:rsidR="00B90CA0" w:rsidRPr="00806EEE" w:rsidRDefault="00B90CA0" w:rsidP="00B90CA0">
      <w:pPr>
        <w:pStyle w:val="DocText"/>
        <w:tabs>
          <w:tab w:val="clear" w:pos="720"/>
        </w:tabs>
        <w:ind w:left="0" w:firstLine="0"/>
        <w:rPr>
          <w:lang w:val="cs-CZ"/>
        </w:rPr>
      </w:pPr>
      <w:r>
        <w:rPr>
          <w:lang w:val="cs-CZ"/>
        </w:rPr>
        <w:t>Kryté dluhopis</w:t>
      </w:r>
      <w:r w:rsidRPr="00806EEE">
        <w:rPr>
          <w:lang w:val="cs-CZ"/>
        </w:rPr>
        <w:t xml:space="preserve">y vydávané společností </w:t>
      </w:r>
      <w:proofErr w:type="spellStart"/>
      <w:r w:rsidRPr="00806EEE">
        <w:rPr>
          <w:lang w:val="cs-CZ"/>
        </w:rPr>
        <w:t>Raiffeisenbank</w:t>
      </w:r>
      <w:proofErr w:type="spellEnd"/>
      <w:r w:rsidRPr="00806EEE">
        <w:rPr>
          <w:lang w:val="cs-CZ"/>
        </w:rPr>
        <w:t xml:space="preserve"> a.s., se sídlem Hvězdova 1716/2b, 140 78 Praha 4, IČO: 492 40 901, zapsanou v obchodním rejstříku vedeném Městským soudem v Praze, </w:t>
      </w:r>
      <w:proofErr w:type="spellStart"/>
      <w:r w:rsidRPr="00806EEE">
        <w:rPr>
          <w:lang w:val="cs-CZ"/>
        </w:rPr>
        <w:t>sp</w:t>
      </w:r>
      <w:proofErr w:type="spellEnd"/>
      <w:r w:rsidRPr="00806EEE">
        <w:rPr>
          <w:lang w:val="cs-CZ"/>
        </w:rPr>
        <w:t>. zn. B 2051 (</w:t>
      </w:r>
      <w:r w:rsidRPr="00806EEE">
        <w:rPr>
          <w:b/>
          <w:lang w:val="cs-CZ"/>
        </w:rPr>
        <w:t>Emitent</w:t>
      </w:r>
      <w:r w:rsidRPr="00806EEE">
        <w:rPr>
          <w:lang w:val="cs-CZ"/>
        </w:rPr>
        <w:fldChar w:fldCharType="begin"/>
      </w:r>
      <w:r w:rsidRPr="00806EEE">
        <w:rPr>
          <w:lang w:val="cs-CZ"/>
        </w:rPr>
        <w:instrText xml:space="preserve"> XE "Emitent" </w:instrText>
      </w:r>
      <w:r w:rsidRPr="00806EEE">
        <w:rPr>
          <w:lang w:val="cs-CZ"/>
        </w:rPr>
        <w:fldChar w:fldCharType="end"/>
      </w:r>
      <w:r w:rsidRPr="00806EEE">
        <w:rPr>
          <w:lang w:val="cs-CZ"/>
        </w:rPr>
        <w:t xml:space="preserve">), podle českého práva v předpokládané celkové jmenovité hodnotě emise do </w:t>
      </w:r>
      <w:r>
        <w:rPr>
          <w:lang w:val="cs-CZ"/>
        </w:rPr>
        <w:t>1.</w:t>
      </w:r>
      <w:r w:rsidRPr="005E343A">
        <w:rPr>
          <w:lang w:val="cs-CZ"/>
        </w:rPr>
        <w:t>000.000.000 Kč (slovy: jedna miliarda korun českých) s možností navýšení až do výše 200.000.000.000 Kč (slovy: dvě stě miliard korun českých),</w:t>
      </w:r>
      <w:r w:rsidRPr="00806EEE">
        <w:rPr>
          <w:lang w:val="cs-CZ"/>
        </w:rPr>
        <w:t xml:space="preserve"> nesoucí pevný úrokový výnos </w:t>
      </w:r>
      <w:r>
        <w:rPr>
          <w:lang w:val="cs-CZ"/>
        </w:rPr>
        <w:t>1</w:t>
      </w:r>
      <w:r w:rsidRPr="00806EEE">
        <w:rPr>
          <w:lang w:val="cs-CZ"/>
        </w:rPr>
        <w:t xml:space="preserve"> % </w:t>
      </w:r>
      <w:proofErr w:type="spellStart"/>
      <w:proofErr w:type="gramStart"/>
      <w:r w:rsidRPr="00806EEE">
        <w:rPr>
          <w:lang w:val="cs-CZ"/>
        </w:rPr>
        <w:t>p.a</w:t>
      </w:r>
      <w:proofErr w:type="spellEnd"/>
      <w:r w:rsidRPr="00806EEE">
        <w:rPr>
          <w:lang w:val="cs-CZ"/>
        </w:rPr>
        <w:t>.</w:t>
      </w:r>
      <w:proofErr w:type="gramEnd"/>
      <w:r w:rsidRPr="00806EEE">
        <w:rPr>
          <w:lang w:val="cs-CZ"/>
        </w:rPr>
        <w:t>, splatné v roce 2030 (</w:t>
      </w:r>
      <w:r w:rsidRPr="00806EEE">
        <w:rPr>
          <w:b/>
          <w:lang w:val="cs-CZ"/>
        </w:rPr>
        <w:t>Emise</w:t>
      </w:r>
      <w:r w:rsidRPr="00806EEE">
        <w:rPr>
          <w:lang w:val="cs-CZ"/>
        </w:rPr>
        <w:fldChar w:fldCharType="begin"/>
      </w:r>
      <w:r w:rsidRPr="00806EEE">
        <w:rPr>
          <w:lang w:val="cs-CZ"/>
        </w:rPr>
        <w:instrText xml:space="preserve"> XE "Emise" </w:instrText>
      </w:r>
      <w:r w:rsidRPr="00806EEE">
        <w:rPr>
          <w:lang w:val="cs-CZ"/>
        </w:rPr>
        <w:fldChar w:fldCharType="end"/>
      </w:r>
      <w:r w:rsidRPr="00806EEE">
        <w:rPr>
          <w:lang w:val="cs-CZ"/>
        </w:rPr>
        <w:t xml:space="preserve"> a jednotlivé dluhopisy vydávané v rámci Emise </w:t>
      </w:r>
      <w:r>
        <w:rPr>
          <w:b/>
          <w:lang w:val="cs-CZ"/>
        </w:rPr>
        <w:t>Kryté dluhopisy</w:t>
      </w:r>
      <w:r w:rsidRPr="00806EEE">
        <w:rPr>
          <w:lang w:val="cs-CZ"/>
        </w:rPr>
        <w:fldChar w:fldCharType="begin"/>
      </w:r>
      <w:r w:rsidRPr="00806EEE">
        <w:rPr>
          <w:lang w:val="cs-CZ"/>
        </w:rPr>
        <w:instrText xml:space="preserve"> XE "</w:instrText>
      </w:r>
      <w:r>
        <w:rPr>
          <w:lang w:val="cs-CZ"/>
        </w:rPr>
        <w:instrText>Kryté dluhopisy</w:instrText>
      </w:r>
      <w:r w:rsidRPr="00806EEE">
        <w:rPr>
          <w:lang w:val="cs-CZ"/>
        </w:rPr>
        <w:instrText xml:space="preserve">" </w:instrText>
      </w:r>
      <w:r w:rsidRPr="00806EEE">
        <w:rPr>
          <w:lang w:val="cs-CZ"/>
        </w:rPr>
        <w:fldChar w:fldCharType="end"/>
      </w:r>
      <w:r w:rsidRPr="00806EEE">
        <w:rPr>
          <w:lang w:val="cs-CZ"/>
        </w:rPr>
        <w:t>), se řídí těmito emisními podmínkami (</w:t>
      </w:r>
      <w:r w:rsidRPr="00806EEE">
        <w:rPr>
          <w:b/>
          <w:lang w:val="cs-CZ"/>
        </w:rPr>
        <w:t>Emisní podmínky</w:t>
      </w:r>
      <w:r w:rsidRPr="00806EEE">
        <w:rPr>
          <w:lang w:val="cs-CZ"/>
        </w:rPr>
        <w:fldChar w:fldCharType="begin"/>
      </w:r>
      <w:r w:rsidRPr="00806EEE">
        <w:rPr>
          <w:lang w:val="cs-CZ"/>
        </w:rPr>
        <w:instrText xml:space="preserve"> XE "Emisní podmínky" </w:instrText>
      </w:r>
      <w:r w:rsidRPr="00806EEE">
        <w:rPr>
          <w:lang w:val="cs-CZ"/>
        </w:rPr>
        <w:fldChar w:fldCharType="end"/>
      </w:r>
      <w:r w:rsidRPr="00806EEE">
        <w:rPr>
          <w:lang w:val="cs-CZ"/>
        </w:rPr>
        <w:t>) a zákonem č. 190/2004 Sb., o dluhopisech, v platném znění (</w:t>
      </w:r>
      <w:r w:rsidRPr="00806EEE">
        <w:rPr>
          <w:b/>
          <w:lang w:val="cs-CZ"/>
        </w:rPr>
        <w:t>Zákon o dluhopisech</w:t>
      </w:r>
      <w:r w:rsidRPr="00806EEE">
        <w:rPr>
          <w:lang w:val="cs-CZ"/>
        </w:rPr>
        <w:fldChar w:fldCharType="begin"/>
      </w:r>
      <w:r w:rsidRPr="00806EEE">
        <w:rPr>
          <w:lang w:val="cs-CZ"/>
        </w:rPr>
        <w:instrText xml:space="preserve"> XE "Zákon o dluhopisech" </w:instrText>
      </w:r>
      <w:r w:rsidRPr="00806EEE">
        <w:rPr>
          <w:lang w:val="cs-CZ"/>
        </w:rPr>
        <w:fldChar w:fldCharType="end"/>
      </w:r>
      <w:r w:rsidRPr="00806EEE">
        <w:rPr>
          <w:lang w:val="cs-CZ"/>
        </w:rPr>
        <w:t>).</w:t>
      </w:r>
    </w:p>
    <w:p w:rsidR="00B90CA0" w:rsidRPr="005025CD" w:rsidRDefault="00B90CA0" w:rsidP="00B90CA0">
      <w:pPr>
        <w:pStyle w:val="DocText"/>
        <w:tabs>
          <w:tab w:val="clear" w:pos="720"/>
        </w:tabs>
        <w:ind w:left="0" w:firstLine="0"/>
        <w:rPr>
          <w:lang w:val="cs-CZ"/>
        </w:rPr>
      </w:pPr>
      <w:r w:rsidRPr="00806EEE">
        <w:rPr>
          <w:lang w:val="cs-CZ"/>
        </w:rPr>
        <w:t xml:space="preserve">Emise byla schválena rozhodnutím představenstva Emitenta </w:t>
      </w:r>
      <w:r w:rsidRPr="005025CD">
        <w:rPr>
          <w:lang w:val="cs-CZ"/>
        </w:rPr>
        <w:t xml:space="preserve">ze dne 14. dubna 2020. Krytým dluhopisům </w:t>
      </w:r>
      <w:r w:rsidRPr="00806EEE">
        <w:rPr>
          <w:lang w:val="cs-CZ"/>
        </w:rPr>
        <w:t xml:space="preserve">byl Centrálním depozitářem přidělen identifikační kód </w:t>
      </w:r>
      <w:r w:rsidRPr="00757B68">
        <w:rPr>
          <w:lang w:val="cs-CZ"/>
        </w:rPr>
        <w:t>ISIN CZ0002007057.</w:t>
      </w:r>
      <w:r w:rsidRPr="00806EEE">
        <w:rPr>
          <w:lang w:val="cs-CZ"/>
        </w:rPr>
        <w:t xml:space="preserve"> Zkrácený název </w:t>
      </w:r>
      <w:r w:rsidRPr="005025CD">
        <w:rPr>
          <w:lang w:val="cs-CZ"/>
        </w:rPr>
        <w:t>Emise je „HZL RBCZ CRR 1.00/30“.</w:t>
      </w:r>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Datum emise je </w:t>
      </w:r>
      <w:r>
        <w:rPr>
          <w:lang w:val="cs-CZ"/>
        </w:rPr>
        <w:t>15. července 2020</w:t>
      </w:r>
      <w:r w:rsidRPr="005025CD">
        <w:rPr>
          <w:lang w:val="cs-CZ"/>
        </w:rPr>
        <w:t xml:space="preserve"> (</w:t>
      </w:r>
      <w:r w:rsidRPr="005025CD">
        <w:rPr>
          <w:b/>
          <w:lang w:val="cs-CZ"/>
        </w:rPr>
        <w:t>Datum emise</w:t>
      </w:r>
      <w:r w:rsidRPr="005025CD">
        <w:rPr>
          <w:lang w:val="cs-CZ"/>
        </w:rPr>
        <w:fldChar w:fldCharType="begin"/>
      </w:r>
      <w:r w:rsidRPr="005025CD">
        <w:rPr>
          <w:lang w:val="cs-CZ"/>
        </w:rPr>
        <w:instrText xml:space="preserve"> XE "Datum emise" </w:instrText>
      </w:r>
      <w:r w:rsidRPr="005025CD">
        <w:rPr>
          <w:lang w:val="cs-CZ"/>
        </w:rPr>
        <w:fldChar w:fldCharType="end"/>
      </w:r>
      <w:r w:rsidRPr="005025CD">
        <w:rPr>
          <w:lang w:val="cs-CZ"/>
        </w:rPr>
        <w:t>).</w:t>
      </w:r>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Den konečné splatnosti Krytých dluhopisů je </w:t>
      </w:r>
      <w:r>
        <w:rPr>
          <w:lang w:val="cs-CZ"/>
        </w:rPr>
        <w:t>15</w:t>
      </w:r>
      <w:r w:rsidRPr="005025CD">
        <w:rPr>
          <w:lang w:val="cs-CZ"/>
        </w:rPr>
        <w:t>. červ</w:t>
      </w:r>
      <w:r>
        <w:rPr>
          <w:lang w:val="cs-CZ"/>
        </w:rPr>
        <w:t>ence</w:t>
      </w:r>
      <w:r w:rsidRPr="005025CD">
        <w:rPr>
          <w:lang w:val="cs-CZ"/>
        </w:rPr>
        <w:t xml:space="preserve"> 2030 (</w:t>
      </w:r>
      <w:r w:rsidRPr="005025CD">
        <w:rPr>
          <w:b/>
          <w:lang w:val="cs-CZ"/>
        </w:rPr>
        <w:t>Den konečné splatnosti</w:t>
      </w:r>
      <w:r w:rsidRPr="005025CD">
        <w:rPr>
          <w:b/>
          <w:lang w:val="cs-CZ"/>
        </w:rPr>
        <w:fldChar w:fldCharType="begin"/>
      </w:r>
      <w:r w:rsidRPr="005025CD">
        <w:rPr>
          <w:lang w:val="cs-CZ"/>
        </w:rPr>
        <w:instrText xml:space="preserve"> XE "Den konečné splatnosti" </w:instrText>
      </w:r>
      <w:r w:rsidRPr="005025CD">
        <w:rPr>
          <w:b/>
          <w:lang w:val="cs-CZ"/>
        </w:rPr>
        <w:fldChar w:fldCharType="end"/>
      </w:r>
      <w:r w:rsidRPr="005025CD">
        <w:rPr>
          <w:lang w:val="cs-CZ"/>
        </w:rPr>
        <w:t>).</w:t>
      </w:r>
    </w:p>
    <w:p w:rsidR="00B90CA0" w:rsidRPr="005025CD" w:rsidRDefault="00B90CA0" w:rsidP="00B90CA0">
      <w:pPr>
        <w:pStyle w:val="DocText"/>
        <w:tabs>
          <w:tab w:val="clear" w:pos="720"/>
        </w:tabs>
        <w:spacing w:line="260" w:lineRule="atLeast"/>
        <w:ind w:left="0" w:firstLine="0"/>
        <w:rPr>
          <w:lang w:val="cs-CZ"/>
        </w:rPr>
      </w:pPr>
      <w:r w:rsidRPr="005025CD">
        <w:rPr>
          <w:lang w:val="cs-CZ"/>
        </w:rPr>
        <w:t>Emitent k Datu emise nebo po něm požádá o přijetí Krytých dluhopisů k obchodování na Free Marketu, segmentu mnohostranného obchodního systému, organizovaném Burzou cenných papírů Praha, a.s.</w:t>
      </w:r>
    </w:p>
    <w:p w:rsidR="00B90CA0" w:rsidRPr="00806EEE" w:rsidRDefault="00B90CA0" w:rsidP="00B90CA0">
      <w:pPr>
        <w:pStyle w:val="DocText"/>
        <w:tabs>
          <w:tab w:val="clear" w:pos="720"/>
        </w:tabs>
        <w:spacing w:line="260" w:lineRule="atLeast"/>
        <w:ind w:left="0" w:firstLine="0"/>
        <w:rPr>
          <w:lang w:val="cs-CZ"/>
        </w:rPr>
      </w:pPr>
      <w:r w:rsidRPr="00806EEE">
        <w:rPr>
          <w:lang w:val="cs-CZ"/>
        </w:rPr>
        <w:t xml:space="preserve">Pokud není v Emisních podmínkách uvedeno jinak, výrazy definované s velkými písmeny mají význam k nim přiřazený v článku </w:t>
      </w:r>
      <w:r w:rsidRPr="00806EEE">
        <w:rPr>
          <w:lang w:val="cs-CZ"/>
        </w:rPr>
        <w:fldChar w:fldCharType="begin"/>
      </w:r>
      <w:r w:rsidRPr="00806EEE">
        <w:rPr>
          <w:lang w:val="cs-CZ"/>
        </w:rPr>
        <w:instrText xml:space="preserve"> REF _Ref508197101 \n \h </w:instrText>
      </w:r>
      <w:r w:rsidRPr="00806EEE">
        <w:rPr>
          <w:lang w:val="cs-CZ"/>
        </w:rPr>
      </w:r>
      <w:r w:rsidRPr="00806EEE">
        <w:rPr>
          <w:lang w:val="cs-CZ"/>
        </w:rPr>
        <w:fldChar w:fldCharType="separate"/>
      </w:r>
      <w:r w:rsidR="00723DD2">
        <w:rPr>
          <w:lang w:val="cs-CZ"/>
        </w:rPr>
        <w:t>13</w:t>
      </w:r>
      <w:r w:rsidRPr="00806EEE">
        <w:rPr>
          <w:lang w:val="cs-CZ"/>
        </w:rPr>
        <w:fldChar w:fldCharType="end"/>
      </w:r>
      <w:r w:rsidRPr="00806EEE">
        <w:rPr>
          <w:lang w:val="cs-CZ"/>
        </w:rPr>
        <w:t>. Odkaz na ustanovení zákona či jiného právního předpisu znamená v Emisních podmínkách odkaz na ustanovení v aktuálním znění příslušného zákona či jiného právního předpisu.</w:t>
      </w:r>
    </w:p>
    <w:p w:rsidR="00B90CA0" w:rsidRPr="00806EEE" w:rsidRDefault="00B90CA0" w:rsidP="00B90CA0">
      <w:pPr>
        <w:pStyle w:val="Level1"/>
        <w:rPr>
          <w:rFonts w:hint="eastAsia"/>
          <w:u w:val="single"/>
          <w:lang w:val="cs-CZ"/>
        </w:rPr>
      </w:pPr>
      <w:bookmarkStart w:id="16" w:name="_Toc256000018"/>
      <w:bookmarkStart w:id="17" w:name="_Toc373436370"/>
      <w:bookmarkStart w:id="18" w:name="_Toc433993889"/>
      <w:bookmarkStart w:id="19" w:name="_Toc441155769"/>
      <w:bookmarkStart w:id="20" w:name="_Toc441755369"/>
      <w:bookmarkStart w:id="21" w:name="_Toc457259475"/>
      <w:bookmarkStart w:id="22" w:name="_Toc468696746"/>
      <w:bookmarkStart w:id="23" w:name="_Toc507159334"/>
      <w:bookmarkStart w:id="24" w:name="_Toc10478021"/>
      <w:r w:rsidRPr="00806EEE">
        <w:rPr>
          <w:u w:val="single"/>
          <w:lang w:val="cs-CZ"/>
        </w:rPr>
        <w:t xml:space="preserve">Základní charakteristika </w:t>
      </w:r>
      <w:bookmarkEnd w:id="16"/>
      <w:bookmarkEnd w:id="17"/>
      <w:bookmarkEnd w:id="18"/>
      <w:bookmarkEnd w:id="19"/>
      <w:bookmarkEnd w:id="20"/>
      <w:bookmarkEnd w:id="21"/>
      <w:bookmarkEnd w:id="22"/>
      <w:bookmarkEnd w:id="23"/>
      <w:bookmarkEnd w:id="24"/>
      <w:r>
        <w:rPr>
          <w:u w:val="single"/>
          <w:lang w:val="cs-CZ"/>
        </w:rPr>
        <w:t xml:space="preserve">krytých </w:t>
      </w:r>
      <w:r w:rsidRPr="00806EEE">
        <w:rPr>
          <w:u w:val="single"/>
          <w:lang w:val="cs-CZ"/>
        </w:rPr>
        <w:t>dluhopisů</w:t>
      </w:r>
    </w:p>
    <w:p w:rsidR="00B90CA0" w:rsidRPr="00806EEE" w:rsidRDefault="00B90CA0" w:rsidP="00B90CA0">
      <w:pPr>
        <w:pStyle w:val="Level2"/>
        <w:numPr>
          <w:ilvl w:val="1"/>
          <w:numId w:val="38"/>
        </w:numPr>
        <w:rPr>
          <w:rFonts w:hint="eastAsia"/>
          <w:lang w:val="cs-CZ"/>
        </w:rPr>
      </w:pPr>
      <w:bookmarkStart w:id="25" w:name="_Toc256000019"/>
      <w:bookmarkStart w:id="26" w:name="_Toc433993890"/>
      <w:bookmarkStart w:id="27" w:name="_Toc441155770"/>
      <w:bookmarkStart w:id="28" w:name="_Toc441755370"/>
      <w:bookmarkStart w:id="29" w:name="_Toc457259476"/>
      <w:bookmarkStart w:id="30" w:name="_Toc468696747"/>
      <w:bookmarkStart w:id="31" w:name="_Toc498617658"/>
      <w:bookmarkStart w:id="32" w:name="_Toc498944355"/>
      <w:r w:rsidRPr="00806EEE">
        <w:rPr>
          <w:lang w:val="cs-CZ"/>
        </w:rPr>
        <w:t>Jmenovitá hodnota, druh, předpokládaná celková jmenovitá hodnota emise</w:t>
      </w:r>
      <w:bookmarkEnd w:id="25"/>
      <w:bookmarkEnd w:id="26"/>
      <w:bookmarkEnd w:id="27"/>
      <w:bookmarkEnd w:id="28"/>
      <w:bookmarkEnd w:id="29"/>
      <w:bookmarkEnd w:id="30"/>
      <w:bookmarkEnd w:id="31"/>
      <w:bookmarkEnd w:id="32"/>
      <w:r w:rsidRPr="00806EEE">
        <w:rPr>
          <w:lang w:val="cs-CZ"/>
        </w:rPr>
        <w:t xml:space="preserve"> </w:t>
      </w:r>
    </w:p>
    <w:p w:rsidR="00B90CA0" w:rsidRPr="00806EEE" w:rsidRDefault="00B90CA0" w:rsidP="00B90CA0">
      <w:pPr>
        <w:pStyle w:val="DocText"/>
        <w:tabs>
          <w:tab w:val="clear" w:pos="720"/>
        </w:tabs>
        <w:spacing w:line="260" w:lineRule="atLeast"/>
        <w:ind w:left="0" w:firstLine="0"/>
        <w:rPr>
          <w:lang w:val="cs-CZ"/>
        </w:rPr>
      </w:pPr>
      <w:r>
        <w:rPr>
          <w:lang w:val="cs-CZ"/>
        </w:rPr>
        <w:t>Kryté dluhopisy</w:t>
      </w:r>
      <w:r w:rsidRPr="00806EEE">
        <w:rPr>
          <w:lang w:val="cs-CZ"/>
        </w:rPr>
        <w:t xml:space="preserve"> jsou vydávány jako zaknihované cenné papíry v souladu se Zákonem o dluhopisech. Každý </w:t>
      </w:r>
      <w:r>
        <w:rPr>
          <w:lang w:val="cs-CZ"/>
        </w:rPr>
        <w:t>Krytý dluhopis</w:t>
      </w:r>
      <w:r w:rsidRPr="00806EEE">
        <w:rPr>
          <w:lang w:val="cs-CZ"/>
        </w:rPr>
        <w:t xml:space="preserve"> má jmenovitou hodnotu </w:t>
      </w:r>
      <w:r>
        <w:rPr>
          <w:lang w:val="cs-CZ"/>
        </w:rPr>
        <w:t>10</w:t>
      </w:r>
      <w:r w:rsidRPr="00806EEE">
        <w:rPr>
          <w:lang w:val="cs-CZ"/>
        </w:rPr>
        <w:t xml:space="preserve">.000.000 Kč (slovy: </w:t>
      </w:r>
      <w:r>
        <w:rPr>
          <w:lang w:val="cs-CZ"/>
        </w:rPr>
        <w:t>deset</w:t>
      </w:r>
      <w:r w:rsidRPr="00806EEE">
        <w:rPr>
          <w:lang w:val="cs-CZ"/>
        </w:rPr>
        <w:t xml:space="preserve"> milion</w:t>
      </w:r>
      <w:r>
        <w:rPr>
          <w:lang w:val="cs-CZ"/>
        </w:rPr>
        <w:t>ů</w:t>
      </w:r>
      <w:r w:rsidRPr="00806EEE">
        <w:rPr>
          <w:lang w:val="cs-CZ"/>
        </w:rPr>
        <w:t xml:space="preserve"> korun českých). Předpokládaná celková jmenovitá hodnota Emise je </w:t>
      </w:r>
      <w:r>
        <w:rPr>
          <w:lang w:val="cs-CZ"/>
        </w:rPr>
        <w:t>1.</w:t>
      </w:r>
      <w:r w:rsidRPr="005E343A">
        <w:rPr>
          <w:lang w:val="cs-CZ"/>
        </w:rPr>
        <w:t>000.000.000 Kč (slovy: jedna miliarda korun českých) s možností navýšení až do výše 200.000.000.000 Kč (slovy: dvě stě miliard korun českých)</w:t>
      </w:r>
      <w:r w:rsidRPr="00806EEE">
        <w:rPr>
          <w:lang w:val="cs-CZ"/>
        </w:rPr>
        <w:t>.</w:t>
      </w:r>
    </w:p>
    <w:p w:rsidR="00B90CA0" w:rsidRPr="00806EEE" w:rsidRDefault="00B90CA0" w:rsidP="00B90CA0">
      <w:pPr>
        <w:pStyle w:val="Level2"/>
        <w:numPr>
          <w:ilvl w:val="1"/>
          <w:numId w:val="38"/>
        </w:numPr>
        <w:rPr>
          <w:rFonts w:hint="eastAsia"/>
          <w:lang w:val="cs-CZ"/>
        </w:rPr>
      </w:pPr>
      <w:bookmarkStart w:id="33" w:name="_Toc256000020"/>
      <w:bookmarkStart w:id="34" w:name="_Toc433993891"/>
      <w:bookmarkStart w:id="35" w:name="_Toc441155771"/>
      <w:bookmarkStart w:id="36" w:name="_Toc441755371"/>
      <w:bookmarkStart w:id="37" w:name="_Toc457259477"/>
      <w:bookmarkStart w:id="38" w:name="_Toc468696748"/>
      <w:bookmarkStart w:id="39" w:name="_Toc498617659"/>
      <w:bookmarkStart w:id="40" w:name="_Toc498944356"/>
      <w:r w:rsidRPr="00806EEE">
        <w:rPr>
          <w:lang w:val="cs-CZ"/>
        </w:rPr>
        <w:t>Oddělení práva na výnos</w:t>
      </w:r>
      <w:bookmarkEnd w:id="33"/>
      <w:bookmarkEnd w:id="34"/>
      <w:bookmarkEnd w:id="35"/>
      <w:bookmarkEnd w:id="36"/>
      <w:bookmarkEnd w:id="37"/>
      <w:bookmarkEnd w:id="38"/>
      <w:bookmarkEnd w:id="39"/>
      <w:bookmarkEnd w:id="40"/>
    </w:p>
    <w:p w:rsidR="00B90CA0" w:rsidRPr="00806EEE" w:rsidRDefault="00B90CA0" w:rsidP="00B90CA0">
      <w:pPr>
        <w:pStyle w:val="DocText"/>
        <w:tabs>
          <w:tab w:val="clear" w:pos="720"/>
        </w:tabs>
        <w:spacing w:line="260" w:lineRule="atLeast"/>
        <w:ind w:left="0" w:firstLine="0"/>
        <w:rPr>
          <w:lang w:val="cs-CZ"/>
        </w:rPr>
      </w:pPr>
      <w:r w:rsidRPr="00806EEE">
        <w:rPr>
          <w:lang w:val="cs-CZ"/>
        </w:rPr>
        <w:t>Oddělení práva na výnos z </w:t>
      </w:r>
      <w:r>
        <w:rPr>
          <w:lang w:val="cs-CZ"/>
        </w:rPr>
        <w:t>Krytého dluhopisu</w:t>
      </w:r>
      <w:r w:rsidRPr="00806EEE">
        <w:rPr>
          <w:lang w:val="cs-CZ"/>
        </w:rPr>
        <w:t>, tj. práva obdržet úrok z </w:t>
      </w:r>
      <w:r>
        <w:rPr>
          <w:lang w:val="cs-CZ"/>
        </w:rPr>
        <w:t>Krytého dluhopisu</w:t>
      </w:r>
      <w:r w:rsidRPr="00806EEE">
        <w:rPr>
          <w:lang w:val="cs-CZ"/>
        </w:rPr>
        <w:t xml:space="preserve"> vydáním kupónů jako samostatných cenných papírů či jinak, se vylučuje. </w:t>
      </w:r>
    </w:p>
    <w:p w:rsidR="00B90CA0" w:rsidRPr="00806EEE" w:rsidRDefault="00B90CA0" w:rsidP="00B90CA0">
      <w:pPr>
        <w:pStyle w:val="Level2"/>
        <w:numPr>
          <w:ilvl w:val="1"/>
          <w:numId w:val="38"/>
        </w:numPr>
        <w:rPr>
          <w:rFonts w:hint="eastAsia"/>
          <w:lang w:val="cs-CZ"/>
        </w:rPr>
      </w:pPr>
      <w:bookmarkStart w:id="41" w:name="_Toc256000022"/>
      <w:bookmarkStart w:id="42" w:name="_Toc433993893"/>
      <w:bookmarkStart w:id="43" w:name="_Toc441155773"/>
      <w:bookmarkStart w:id="44" w:name="_Toc441755373"/>
      <w:bookmarkStart w:id="45" w:name="_Toc457259479"/>
      <w:bookmarkStart w:id="46" w:name="_Toc468696750"/>
      <w:bookmarkStart w:id="47" w:name="_Ref497818951"/>
      <w:bookmarkStart w:id="48" w:name="_Ref497818955"/>
      <w:bookmarkStart w:id="49" w:name="_Ref497819011"/>
      <w:bookmarkStart w:id="50" w:name="_Ref497834804"/>
      <w:bookmarkStart w:id="51" w:name="_Ref497834810"/>
      <w:bookmarkStart w:id="52" w:name="_Toc498617660"/>
      <w:bookmarkStart w:id="53" w:name="_Toc498944357"/>
      <w:r w:rsidRPr="00806EEE">
        <w:rPr>
          <w:lang w:val="cs-CZ"/>
        </w:rPr>
        <w:t>Vlastníci</w:t>
      </w:r>
      <w:r>
        <w:rPr>
          <w:lang w:val="cs-CZ"/>
        </w:rPr>
        <w:t xml:space="preserve"> </w:t>
      </w:r>
      <w:r w:rsidRPr="006169BF">
        <w:rPr>
          <w:lang w:val="cs-CZ"/>
        </w:rPr>
        <w:t>krytých</w:t>
      </w:r>
      <w:r w:rsidRPr="00806EEE">
        <w:rPr>
          <w:lang w:val="cs-CZ"/>
        </w:rPr>
        <w:t xml:space="preserve"> dluhopisů</w:t>
      </w:r>
      <w:bookmarkEnd w:id="41"/>
      <w:bookmarkEnd w:id="42"/>
      <w:bookmarkEnd w:id="43"/>
      <w:bookmarkEnd w:id="44"/>
      <w:bookmarkEnd w:id="45"/>
      <w:bookmarkEnd w:id="46"/>
      <w:bookmarkEnd w:id="47"/>
      <w:bookmarkEnd w:id="48"/>
      <w:bookmarkEnd w:id="49"/>
      <w:bookmarkEnd w:id="50"/>
      <w:bookmarkEnd w:id="51"/>
      <w:bookmarkEnd w:id="52"/>
      <w:bookmarkEnd w:id="53"/>
    </w:p>
    <w:p w:rsidR="00B90CA0" w:rsidRPr="00806EEE" w:rsidRDefault="00B90CA0" w:rsidP="00B90CA0">
      <w:pPr>
        <w:pStyle w:val="Doctext0"/>
        <w:rPr>
          <w:lang w:val="cs-CZ"/>
        </w:rPr>
      </w:pPr>
      <w:r w:rsidRPr="00806EEE">
        <w:rPr>
          <w:lang w:val="cs-CZ"/>
        </w:rPr>
        <w:t xml:space="preserve">Osoba, na jejímž účtu vlastníka, ve smyslu zákona č. 256/2004 Sb., o podnikání na kapitálovém trhu, v platném znění, v Centrálním depozitáři či v evidenci navazující na centrální evidenci je </w:t>
      </w:r>
      <w:r>
        <w:rPr>
          <w:lang w:val="cs-CZ"/>
        </w:rPr>
        <w:t>Krytý dluhopis</w:t>
      </w:r>
      <w:r w:rsidRPr="00806EEE">
        <w:rPr>
          <w:lang w:val="cs-CZ"/>
        </w:rPr>
        <w:t xml:space="preserve"> evidován je vlastníkem </w:t>
      </w:r>
      <w:r>
        <w:rPr>
          <w:lang w:val="cs-CZ"/>
        </w:rPr>
        <w:t>Krytých dluhopisů</w:t>
      </w:r>
      <w:r w:rsidRPr="00806EEE">
        <w:rPr>
          <w:lang w:val="cs-CZ"/>
        </w:rPr>
        <w:t xml:space="preserve"> (</w:t>
      </w:r>
      <w:r w:rsidRPr="00806EEE">
        <w:rPr>
          <w:b/>
          <w:lang w:val="cs-CZ"/>
        </w:rPr>
        <w:t>Vlastník dluhopisů</w:t>
      </w:r>
      <w:r w:rsidRPr="00806EEE">
        <w:rPr>
          <w:lang w:val="cs-CZ"/>
        </w:rPr>
        <w:fldChar w:fldCharType="begin"/>
      </w:r>
      <w:r w:rsidRPr="00806EEE">
        <w:rPr>
          <w:lang w:val="cs-CZ"/>
        </w:rPr>
        <w:instrText xml:space="preserve"> XE "Vlastník dluhopisů" </w:instrText>
      </w:r>
      <w:r w:rsidRPr="00806EEE">
        <w:rPr>
          <w:lang w:val="cs-CZ"/>
        </w:rPr>
        <w:fldChar w:fldCharType="end"/>
      </w:r>
      <w:r w:rsidRPr="00806EEE">
        <w:rPr>
          <w:lang w:val="cs-CZ"/>
        </w:rPr>
        <w:t xml:space="preserve">). Dokud nebude Emitentovi přesvědčivým způsobem prokázáno, že zápis na účtu vlastníka v Centrálním depozitáři či v evidenci navazující na centrální evidenci neodpovídá skutečnosti, a že existuje jiná osoba, na jejímž účtu vlastníka v Centrálním depozitáři nebo v evidenci navazující na centrální evidenci by měl být </w:t>
      </w:r>
      <w:r>
        <w:rPr>
          <w:lang w:val="cs-CZ"/>
        </w:rPr>
        <w:t>Krytý dluhopis</w:t>
      </w:r>
      <w:r w:rsidRPr="00806EEE">
        <w:rPr>
          <w:lang w:val="cs-CZ"/>
        </w:rPr>
        <w:t xml:space="preserve"> evidován, bude Emitent pokládat každého Vlastníka dluhopisů za jejich oprávněného vlastníka ve všech ohledech a provádět jim platby v souladu s těmito Emisními podmínkami. Osoby, na jejichž účtu vlastníka v Centrálním depozitáři či v evidenci navazující na centrální evidenci nebudou z jakýchkoli důvodů evidovány </w:t>
      </w:r>
      <w:r>
        <w:rPr>
          <w:lang w:val="cs-CZ"/>
        </w:rPr>
        <w:t>Kryté dluhopisy</w:t>
      </w:r>
      <w:r w:rsidRPr="00806EEE">
        <w:rPr>
          <w:lang w:val="cs-CZ"/>
        </w:rPr>
        <w:t>, ačkoliv by měly být Vlastníky dluhopisů, jsou povinny o této skutečnosti a titulu nabytí vlastnictví k</w:t>
      </w:r>
      <w:r>
        <w:rPr>
          <w:lang w:val="cs-CZ"/>
        </w:rPr>
        <w:t>e</w:t>
      </w:r>
      <w:r w:rsidRPr="00806EEE">
        <w:rPr>
          <w:lang w:val="cs-CZ"/>
        </w:rPr>
        <w:t xml:space="preserve"> </w:t>
      </w:r>
      <w:r>
        <w:rPr>
          <w:lang w:val="cs-CZ"/>
        </w:rPr>
        <w:t>Krytým dluhopisům</w:t>
      </w:r>
      <w:r w:rsidRPr="00806EEE">
        <w:rPr>
          <w:lang w:val="cs-CZ"/>
        </w:rPr>
        <w:t xml:space="preserve"> neprodleně informovat Emitenta a tyto skutečnosti jim přesvědčivým způsobem prokázat.</w:t>
      </w:r>
    </w:p>
    <w:p w:rsidR="00B90CA0" w:rsidRPr="00806EEE" w:rsidRDefault="00B90CA0" w:rsidP="00B90CA0">
      <w:pPr>
        <w:pStyle w:val="Level2"/>
        <w:numPr>
          <w:ilvl w:val="1"/>
          <w:numId w:val="38"/>
        </w:numPr>
        <w:rPr>
          <w:rFonts w:hint="eastAsia"/>
          <w:lang w:val="cs-CZ"/>
        </w:rPr>
      </w:pPr>
      <w:bookmarkStart w:id="54" w:name="_Toc256000023"/>
      <w:bookmarkStart w:id="55" w:name="_Toc433993894"/>
      <w:bookmarkStart w:id="56" w:name="_Toc441155774"/>
      <w:bookmarkStart w:id="57" w:name="_Toc441755374"/>
      <w:bookmarkStart w:id="58" w:name="_Toc457259480"/>
      <w:bookmarkStart w:id="59" w:name="_Toc468696751"/>
      <w:bookmarkStart w:id="60" w:name="_Toc498617661"/>
      <w:bookmarkStart w:id="61" w:name="_Toc498944358"/>
      <w:r w:rsidRPr="00806EEE">
        <w:rPr>
          <w:lang w:val="cs-CZ"/>
        </w:rPr>
        <w:lastRenderedPageBreak/>
        <w:t xml:space="preserve">Převod </w:t>
      </w:r>
      <w:r w:rsidRPr="006169BF">
        <w:rPr>
          <w:lang w:val="cs-CZ"/>
        </w:rPr>
        <w:t>krytých</w:t>
      </w:r>
      <w:r w:rsidRPr="00806EEE">
        <w:rPr>
          <w:lang w:val="cs-CZ"/>
        </w:rPr>
        <w:t xml:space="preserve"> dluhopisů</w:t>
      </w:r>
      <w:bookmarkEnd w:id="54"/>
      <w:bookmarkEnd w:id="55"/>
      <w:bookmarkEnd w:id="56"/>
      <w:bookmarkEnd w:id="57"/>
      <w:bookmarkEnd w:id="58"/>
      <w:bookmarkEnd w:id="59"/>
      <w:bookmarkEnd w:id="60"/>
      <w:bookmarkEnd w:id="61"/>
    </w:p>
    <w:p w:rsidR="00B90CA0" w:rsidRPr="00806EEE" w:rsidRDefault="00B90CA0" w:rsidP="00B90CA0">
      <w:pPr>
        <w:pStyle w:val="DocText"/>
        <w:tabs>
          <w:tab w:val="clear" w:pos="720"/>
        </w:tabs>
        <w:spacing w:line="260" w:lineRule="atLeast"/>
        <w:ind w:left="0" w:firstLine="0"/>
        <w:rPr>
          <w:lang w:val="cs-CZ"/>
        </w:rPr>
      </w:pPr>
      <w:r w:rsidRPr="00806EEE">
        <w:rPr>
          <w:lang w:val="cs-CZ"/>
        </w:rPr>
        <w:t xml:space="preserve">Převoditelnost </w:t>
      </w:r>
      <w:r>
        <w:rPr>
          <w:lang w:val="cs-CZ"/>
        </w:rPr>
        <w:t>Krytých dluhopisů</w:t>
      </w:r>
      <w:r w:rsidRPr="00806EEE">
        <w:rPr>
          <w:lang w:val="cs-CZ"/>
        </w:rPr>
        <w:t xml:space="preserve"> není omezena.</w:t>
      </w:r>
    </w:p>
    <w:p w:rsidR="00B90CA0" w:rsidRPr="00806EEE" w:rsidRDefault="00B90CA0" w:rsidP="00B90CA0">
      <w:pPr>
        <w:pStyle w:val="DocText"/>
        <w:tabs>
          <w:tab w:val="clear" w:pos="720"/>
        </w:tabs>
        <w:spacing w:line="260" w:lineRule="atLeast"/>
        <w:ind w:left="0" w:firstLine="0"/>
        <w:rPr>
          <w:lang w:val="cs-CZ"/>
        </w:rPr>
      </w:pPr>
      <w:r w:rsidRPr="00806EEE">
        <w:rPr>
          <w:lang w:val="cs-CZ"/>
        </w:rPr>
        <w:t xml:space="preserve">K převodu </w:t>
      </w:r>
      <w:r>
        <w:rPr>
          <w:lang w:val="cs-CZ"/>
        </w:rPr>
        <w:t>Krytých dluhopisů</w:t>
      </w:r>
      <w:r w:rsidRPr="00806EEE">
        <w:rPr>
          <w:lang w:val="cs-CZ"/>
        </w:rPr>
        <w:t xml:space="preserve"> dochází zápisem tohoto převodu na účtu vlastníka v Centrálním depozitáři v souladu s platnými právními předpisy a předpisy Centrálního depozitáře. V případě </w:t>
      </w:r>
      <w:r>
        <w:rPr>
          <w:lang w:val="cs-CZ"/>
        </w:rPr>
        <w:t>Krytých dluhopisů</w:t>
      </w:r>
      <w:r w:rsidRPr="00806EEE">
        <w:rPr>
          <w:lang w:val="cs-CZ"/>
        </w:rPr>
        <w:t xml:space="preserve"> evidovaných v Centrálním depozitáři na účt</w:t>
      </w:r>
      <w:r>
        <w:rPr>
          <w:lang w:val="cs-CZ"/>
        </w:rPr>
        <w:t>ech</w:t>
      </w:r>
      <w:r w:rsidRPr="00806EEE">
        <w:rPr>
          <w:lang w:val="cs-CZ"/>
        </w:rPr>
        <w:t xml:space="preserve"> zákazníků dochází k převodu </w:t>
      </w:r>
      <w:r>
        <w:rPr>
          <w:lang w:val="cs-CZ"/>
        </w:rPr>
        <w:t>Krytých dluhopisů</w:t>
      </w:r>
      <w:r w:rsidRPr="00806EEE">
        <w:rPr>
          <w:lang w:val="cs-CZ"/>
        </w:rPr>
        <w:t xml:space="preserve"> (i) zápisem převodu na účtu zákazníků v souladu s platnými právními předpisy a předpisy Centrálního depozitáře s tím, že majitel účtu zákazníků je povinen neprodleně zapsat takový převod na účet vlastníka, a to k okamžiku zápisu na účet zákazníků, nebo (</w:t>
      </w:r>
      <w:proofErr w:type="spellStart"/>
      <w:r w:rsidRPr="00806EEE">
        <w:rPr>
          <w:lang w:val="cs-CZ"/>
        </w:rPr>
        <w:t>ii</w:t>
      </w:r>
      <w:proofErr w:type="spellEnd"/>
      <w:r w:rsidRPr="00806EEE">
        <w:rPr>
          <w:lang w:val="cs-CZ"/>
        </w:rPr>
        <w:t>) pokud jde o převod mezi Vlastníky dluhopisů v rámci jednoho účtu zákazníků, zápisem převodu na účtu vlastníka v evidenci navazující na centrální evidenci.</w:t>
      </w:r>
    </w:p>
    <w:p w:rsidR="00B90CA0" w:rsidRPr="00806EEE" w:rsidRDefault="00B90CA0" w:rsidP="00B90CA0">
      <w:pPr>
        <w:pStyle w:val="Level2"/>
        <w:numPr>
          <w:ilvl w:val="1"/>
          <w:numId w:val="38"/>
        </w:numPr>
        <w:rPr>
          <w:rFonts w:hint="eastAsia"/>
          <w:lang w:val="cs-CZ"/>
        </w:rPr>
      </w:pPr>
      <w:bookmarkStart w:id="62" w:name="_Toc256000024"/>
      <w:bookmarkStart w:id="63" w:name="_Toc433993895"/>
      <w:bookmarkStart w:id="64" w:name="_Toc441155775"/>
      <w:bookmarkStart w:id="65" w:name="_Toc441755375"/>
      <w:bookmarkStart w:id="66" w:name="_Toc457259481"/>
      <w:bookmarkStart w:id="67" w:name="_Toc468696752"/>
      <w:bookmarkStart w:id="68" w:name="_Toc498617662"/>
      <w:bookmarkStart w:id="69" w:name="_Toc498944359"/>
      <w:r w:rsidRPr="00806EEE">
        <w:rPr>
          <w:lang w:val="cs-CZ"/>
        </w:rPr>
        <w:t>Ohodnocení finanční způsobilosti</w:t>
      </w:r>
      <w:bookmarkEnd w:id="62"/>
      <w:bookmarkEnd w:id="63"/>
      <w:bookmarkEnd w:id="64"/>
      <w:bookmarkEnd w:id="65"/>
      <w:bookmarkEnd w:id="66"/>
      <w:bookmarkEnd w:id="67"/>
      <w:bookmarkEnd w:id="68"/>
      <w:bookmarkEnd w:id="69"/>
    </w:p>
    <w:p w:rsidR="00B90CA0" w:rsidRPr="005025CD" w:rsidRDefault="00B90CA0" w:rsidP="00B90CA0">
      <w:pPr>
        <w:pStyle w:val="DocText"/>
        <w:tabs>
          <w:tab w:val="clear" w:pos="720"/>
        </w:tabs>
        <w:ind w:left="0" w:firstLine="0"/>
        <w:rPr>
          <w:lang w:val="cs-CZ"/>
        </w:rPr>
      </w:pPr>
      <w:r w:rsidRPr="005025CD">
        <w:rPr>
          <w:lang w:val="cs-CZ"/>
        </w:rPr>
        <w:t xml:space="preserve">Emitentovi byl přidělen dne 2. července 2019 rating společností </w:t>
      </w:r>
      <w:proofErr w:type="spellStart"/>
      <w:r w:rsidRPr="005025CD">
        <w:rPr>
          <w:lang w:val="cs-CZ"/>
        </w:rPr>
        <w:t>Moody's</w:t>
      </w:r>
      <w:proofErr w:type="spellEnd"/>
      <w:r w:rsidRPr="005025CD">
        <w:rPr>
          <w:lang w:val="cs-CZ"/>
        </w:rPr>
        <w:t xml:space="preserve"> </w:t>
      </w:r>
      <w:proofErr w:type="spellStart"/>
      <w:r w:rsidRPr="005025CD">
        <w:rPr>
          <w:lang w:val="cs-CZ"/>
        </w:rPr>
        <w:t>Investors</w:t>
      </w:r>
      <w:proofErr w:type="spellEnd"/>
      <w:r w:rsidRPr="005025CD">
        <w:rPr>
          <w:lang w:val="cs-CZ"/>
        </w:rPr>
        <w:t xml:space="preserve"> </w:t>
      </w:r>
      <w:proofErr w:type="spellStart"/>
      <w:r w:rsidRPr="005025CD">
        <w:rPr>
          <w:lang w:val="cs-CZ"/>
        </w:rPr>
        <w:t>Service</w:t>
      </w:r>
      <w:proofErr w:type="spellEnd"/>
      <w:r w:rsidRPr="005025CD">
        <w:rPr>
          <w:lang w:val="cs-CZ"/>
        </w:rPr>
        <w:t xml:space="preserve"> Ltd registrovanou dle nařízení Evropského parlamentu a Rady (ES) č. 1060/2009 na stupni A3 se stabilním výhledem. </w:t>
      </w:r>
    </w:p>
    <w:p w:rsidR="00B90CA0" w:rsidRPr="005025CD" w:rsidRDefault="00B90CA0" w:rsidP="00B90CA0">
      <w:pPr>
        <w:pStyle w:val="Level1"/>
        <w:numPr>
          <w:ilvl w:val="0"/>
          <w:numId w:val="38"/>
        </w:numPr>
        <w:rPr>
          <w:rFonts w:hint="eastAsia"/>
          <w:u w:val="single"/>
          <w:lang w:val="cs-CZ"/>
        </w:rPr>
      </w:pPr>
      <w:bookmarkStart w:id="70" w:name="_Toc507159340"/>
      <w:bookmarkStart w:id="71" w:name="_Toc10478022"/>
      <w:bookmarkStart w:id="72" w:name="_Toc256000026"/>
      <w:bookmarkStart w:id="73" w:name="_Toc433993897"/>
      <w:bookmarkStart w:id="74" w:name="_Toc441155777"/>
      <w:bookmarkStart w:id="75" w:name="_Toc441755377"/>
      <w:bookmarkStart w:id="76" w:name="_Toc457259483"/>
      <w:bookmarkStart w:id="77" w:name="_Toc468696754"/>
      <w:r w:rsidRPr="005025CD">
        <w:rPr>
          <w:u w:val="single"/>
          <w:lang w:val="cs-CZ"/>
        </w:rPr>
        <w:t>Datum emise, lhůta pro upisování, emisní kurz, způsob a místo úpisu krytých dluhopisů</w:t>
      </w:r>
      <w:bookmarkEnd w:id="70"/>
      <w:bookmarkEnd w:id="71"/>
    </w:p>
    <w:p w:rsidR="00B90CA0" w:rsidRPr="005025CD" w:rsidRDefault="00B90CA0" w:rsidP="00B90CA0">
      <w:pPr>
        <w:pStyle w:val="Level2"/>
        <w:numPr>
          <w:ilvl w:val="1"/>
          <w:numId w:val="38"/>
        </w:numPr>
        <w:rPr>
          <w:rFonts w:hint="eastAsia"/>
          <w:lang w:val="cs-CZ"/>
        </w:rPr>
      </w:pPr>
      <w:bookmarkStart w:id="78" w:name="_Toc498617664"/>
      <w:bookmarkStart w:id="79" w:name="_Toc498944361"/>
      <w:bookmarkEnd w:id="72"/>
      <w:bookmarkEnd w:id="73"/>
      <w:bookmarkEnd w:id="74"/>
      <w:bookmarkEnd w:id="75"/>
      <w:bookmarkEnd w:id="76"/>
      <w:bookmarkEnd w:id="77"/>
      <w:r w:rsidRPr="005025CD">
        <w:rPr>
          <w:lang w:val="cs-CZ"/>
        </w:rPr>
        <w:t>Datum emise, lhůta pro upisování</w:t>
      </w:r>
      <w:bookmarkEnd w:id="78"/>
      <w:bookmarkEnd w:id="79"/>
    </w:p>
    <w:p w:rsidR="00B90CA0" w:rsidRPr="005025CD" w:rsidRDefault="00B90CA0" w:rsidP="00B90CA0">
      <w:pPr>
        <w:pStyle w:val="DocText"/>
        <w:tabs>
          <w:tab w:val="clear" w:pos="720"/>
        </w:tabs>
        <w:spacing w:line="260" w:lineRule="atLeast"/>
        <w:ind w:left="0" w:firstLine="0"/>
        <w:rPr>
          <w:lang w:val="cs-CZ"/>
        </w:rPr>
      </w:pPr>
      <w:r w:rsidRPr="005025CD">
        <w:rPr>
          <w:lang w:val="cs-CZ"/>
        </w:rPr>
        <w:t>Kryté dluhopisy mohou být vydány (i) jednorázově k Datu emise nebo (</w:t>
      </w:r>
      <w:proofErr w:type="spellStart"/>
      <w:r w:rsidRPr="005025CD">
        <w:rPr>
          <w:lang w:val="cs-CZ"/>
        </w:rPr>
        <w:t>ii</w:t>
      </w:r>
      <w:proofErr w:type="spellEnd"/>
      <w:r w:rsidRPr="005025CD">
        <w:rPr>
          <w:lang w:val="cs-CZ"/>
        </w:rPr>
        <w:t>) v tranších kdykoli po Datu emise do Dne konečné splatnosti (vyjma). Lhůta pro upisování začíná 1</w:t>
      </w:r>
      <w:r>
        <w:rPr>
          <w:lang w:val="cs-CZ"/>
        </w:rPr>
        <w:t>6</w:t>
      </w:r>
      <w:r w:rsidRPr="005025CD">
        <w:rPr>
          <w:lang w:val="cs-CZ"/>
        </w:rPr>
        <w:t>. července 2020 a končí Dnem konečné splatnosti.</w:t>
      </w:r>
    </w:p>
    <w:p w:rsidR="00B90CA0" w:rsidRPr="005025CD" w:rsidRDefault="00B90CA0" w:rsidP="00B90CA0">
      <w:pPr>
        <w:pStyle w:val="Level2"/>
        <w:numPr>
          <w:ilvl w:val="1"/>
          <w:numId w:val="38"/>
        </w:numPr>
        <w:rPr>
          <w:rFonts w:hint="eastAsia"/>
          <w:lang w:val="cs-CZ"/>
        </w:rPr>
      </w:pPr>
      <w:bookmarkStart w:id="80" w:name="_Toc256000027"/>
      <w:bookmarkStart w:id="81" w:name="_Toc433993898"/>
      <w:bookmarkStart w:id="82" w:name="_Toc441155778"/>
      <w:bookmarkStart w:id="83" w:name="_Toc441755378"/>
      <w:bookmarkStart w:id="84" w:name="_Toc457259484"/>
      <w:bookmarkStart w:id="85" w:name="_Toc468696755"/>
      <w:bookmarkStart w:id="86" w:name="_Toc498617665"/>
      <w:bookmarkStart w:id="87" w:name="_Toc498944362"/>
      <w:r w:rsidRPr="005025CD">
        <w:rPr>
          <w:lang w:val="cs-CZ"/>
        </w:rPr>
        <w:t>Emisní kurz</w:t>
      </w:r>
      <w:bookmarkEnd w:id="80"/>
      <w:bookmarkEnd w:id="81"/>
      <w:bookmarkEnd w:id="82"/>
      <w:bookmarkEnd w:id="83"/>
      <w:bookmarkEnd w:id="84"/>
      <w:bookmarkEnd w:id="85"/>
      <w:bookmarkEnd w:id="86"/>
      <w:bookmarkEnd w:id="87"/>
    </w:p>
    <w:p w:rsidR="00B90CA0" w:rsidRPr="005025CD" w:rsidRDefault="00B90CA0" w:rsidP="00B90CA0">
      <w:pPr>
        <w:pStyle w:val="DocText"/>
        <w:tabs>
          <w:tab w:val="clear" w:pos="720"/>
        </w:tabs>
        <w:spacing w:line="260" w:lineRule="atLeast"/>
        <w:ind w:left="0" w:firstLine="0"/>
        <w:rPr>
          <w:lang w:val="cs-CZ"/>
        </w:rPr>
      </w:pPr>
      <w:bookmarkStart w:id="88" w:name="_Toc256000028"/>
      <w:bookmarkStart w:id="89" w:name="_Toc433993899"/>
      <w:bookmarkStart w:id="90" w:name="_Toc441155779"/>
      <w:bookmarkStart w:id="91" w:name="_Toc441755379"/>
      <w:bookmarkStart w:id="92" w:name="_Toc457259485"/>
      <w:bookmarkStart w:id="93" w:name="_Toc468696756"/>
      <w:bookmarkStart w:id="94" w:name="_Toc498617666"/>
      <w:bookmarkStart w:id="95" w:name="_Toc498944363"/>
      <w:r w:rsidRPr="005025CD">
        <w:rPr>
          <w:lang w:val="cs-CZ"/>
        </w:rPr>
        <w:t>Emisní kurz všech Krytých dluhopisů vydávaných k Datu emise činí 100 % (</w:t>
      </w:r>
      <w:r w:rsidRPr="005025CD">
        <w:rPr>
          <w:b/>
          <w:lang w:val="cs-CZ"/>
        </w:rPr>
        <w:t>Emisní</w:t>
      </w:r>
      <w:r w:rsidRPr="005025CD">
        <w:rPr>
          <w:lang w:val="cs-CZ"/>
        </w:rPr>
        <w:t xml:space="preserve"> </w:t>
      </w:r>
      <w:r w:rsidRPr="005025CD">
        <w:rPr>
          <w:b/>
          <w:lang w:val="cs-CZ"/>
        </w:rPr>
        <w:t>kurz</w:t>
      </w:r>
      <w:r w:rsidRPr="005025CD">
        <w:rPr>
          <w:lang w:val="cs-CZ"/>
        </w:rPr>
        <w:fldChar w:fldCharType="begin"/>
      </w:r>
      <w:r w:rsidRPr="005025CD">
        <w:rPr>
          <w:lang w:val="cs-CZ"/>
        </w:rPr>
        <w:instrText xml:space="preserve"> XE "Emisní kurz" </w:instrText>
      </w:r>
      <w:r w:rsidRPr="005025CD">
        <w:rPr>
          <w:lang w:val="cs-CZ"/>
        </w:rPr>
        <w:fldChar w:fldCharType="end"/>
      </w:r>
      <w:r w:rsidRPr="005025CD">
        <w:rPr>
          <w:lang w:val="cs-CZ"/>
        </w:rPr>
        <w:t xml:space="preserve">). </w:t>
      </w:r>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Emisní kurz jakýchkoli Krytých dluhopisů případně vydávaných po Datu emise bude určen Emitentem na základě aktuálních tržních podmínek. </w:t>
      </w:r>
    </w:p>
    <w:p w:rsidR="00B90CA0" w:rsidRPr="005025CD" w:rsidRDefault="00B90CA0" w:rsidP="00B90CA0">
      <w:pPr>
        <w:pStyle w:val="Level2"/>
        <w:numPr>
          <w:ilvl w:val="1"/>
          <w:numId w:val="38"/>
        </w:numPr>
        <w:rPr>
          <w:rFonts w:hint="eastAsia"/>
          <w:lang w:val="cs-CZ"/>
        </w:rPr>
      </w:pPr>
      <w:r w:rsidRPr="005025CD">
        <w:rPr>
          <w:lang w:val="cs-CZ"/>
        </w:rPr>
        <w:t>Způsob a místo úpisu krytých dluhopisů</w:t>
      </w:r>
      <w:bookmarkEnd w:id="88"/>
      <w:bookmarkEnd w:id="89"/>
      <w:bookmarkEnd w:id="90"/>
      <w:bookmarkEnd w:id="91"/>
      <w:bookmarkEnd w:id="92"/>
      <w:bookmarkEnd w:id="93"/>
      <w:bookmarkEnd w:id="94"/>
      <w:bookmarkEnd w:id="95"/>
    </w:p>
    <w:p w:rsidR="00B90CA0" w:rsidRPr="005025CD" w:rsidRDefault="00B90CA0" w:rsidP="00B90CA0">
      <w:pPr>
        <w:pStyle w:val="Level3"/>
        <w:numPr>
          <w:ilvl w:val="2"/>
          <w:numId w:val="38"/>
        </w:numPr>
        <w:rPr>
          <w:rFonts w:hint="eastAsia"/>
          <w:lang w:val="cs-CZ"/>
        </w:rPr>
      </w:pPr>
      <w:r w:rsidRPr="005025CD">
        <w:rPr>
          <w:lang w:val="cs-CZ"/>
        </w:rPr>
        <w:t>Rozsah nabídky</w:t>
      </w:r>
    </w:p>
    <w:p w:rsidR="00B90CA0" w:rsidRPr="005025CD" w:rsidRDefault="00B90CA0" w:rsidP="00B90CA0">
      <w:pPr>
        <w:pStyle w:val="DocText"/>
        <w:tabs>
          <w:tab w:val="clear" w:pos="720"/>
        </w:tabs>
        <w:ind w:left="0" w:firstLine="0"/>
        <w:rPr>
          <w:rFonts w:eastAsia="Calibri"/>
          <w:lang w:val="cs-CZ"/>
        </w:rPr>
      </w:pPr>
      <w:r w:rsidRPr="005025CD">
        <w:rPr>
          <w:rFonts w:eastAsia="Calibri"/>
          <w:lang w:val="cs-CZ"/>
        </w:rPr>
        <w:t>Emitent bude Kryté dluhopisy k Datu emise a po Datu emise nabízet pouze maximálně 149 fyzickým a právnickým osobám (dohromady) v jednom členském státě Evropské unie, které nejsou kvalifikovanými investory ve smyslu článku 2 písm. e) Nařízení o prospektu (</w:t>
      </w:r>
      <w:r w:rsidRPr="005025CD">
        <w:rPr>
          <w:rFonts w:eastAsia="Calibri"/>
          <w:b/>
          <w:lang w:val="cs-CZ"/>
        </w:rPr>
        <w:t>Kvalifikovaní investoři</w:t>
      </w:r>
      <w:r w:rsidRPr="005025CD">
        <w:rPr>
          <w:rFonts w:eastAsia="Calibri"/>
          <w:lang w:val="cs-CZ"/>
        </w:rPr>
        <w:fldChar w:fldCharType="begin"/>
      </w:r>
      <w:r w:rsidRPr="005025CD">
        <w:rPr>
          <w:lang w:val="cs-CZ"/>
        </w:rPr>
        <w:instrText>XE "</w:instrText>
      </w:r>
      <w:r w:rsidRPr="005025CD">
        <w:rPr>
          <w:rFonts w:eastAsia="Calibri"/>
          <w:lang w:val="cs-CZ"/>
        </w:rPr>
        <w:instrText>Kvalifikovaní investoři</w:instrText>
      </w:r>
      <w:r w:rsidRPr="005025CD">
        <w:rPr>
          <w:lang w:val="cs-CZ"/>
        </w:rPr>
        <w:instrText>"</w:instrText>
      </w:r>
      <w:r w:rsidRPr="005025CD">
        <w:rPr>
          <w:rFonts w:eastAsia="Calibri"/>
          <w:lang w:val="cs-CZ"/>
        </w:rPr>
        <w:fldChar w:fldCharType="end"/>
      </w:r>
      <w:r w:rsidRPr="005025CD">
        <w:rPr>
          <w:rFonts w:eastAsia="Calibri"/>
          <w:lang w:val="cs-CZ"/>
        </w:rPr>
        <w:t>), a Kvalifikovaným investorům, tj. na základě výjimky z povinnosti uveřejnit prospekt uvedené v článku 1 odst. 4 písm. a) a b) Nařízení o prospektu. Každý investor do Krytých dluhopisů toto omezení bere na vědomí a zavazuje se ho dodržovat při případném následném prodeji Krytých dluhopisů jiné osobě než Emitentovi.</w:t>
      </w:r>
    </w:p>
    <w:p w:rsidR="00B90CA0" w:rsidRPr="005025CD" w:rsidRDefault="00B90CA0" w:rsidP="00B90CA0">
      <w:pPr>
        <w:pStyle w:val="Level3"/>
        <w:numPr>
          <w:ilvl w:val="2"/>
          <w:numId w:val="38"/>
        </w:numPr>
        <w:rPr>
          <w:rFonts w:hint="eastAsia"/>
          <w:lang w:val="cs-CZ"/>
        </w:rPr>
      </w:pPr>
      <w:r w:rsidRPr="005025CD">
        <w:rPr>
          <w:lang w:val="cs-CZ"/>
        </w:rPr>
        <w:t xml:space="preserve">Úpis a prodej krytých dluhopisů na účet emitenta </w:t>
      </w:r>
    </w:p>
    <w:p w:rsidR="00B90CA0" w:rsidRPr="005025CD" w:rsidRDefault="00B90CA0" w:rsidP="00B90CA0">
      <w:pPr>
        <w:pStyle w:val="Doctext0"/>
        <w:rPr>
          <w:lang w:val="cs-CZ"/>
        </w:rPr>
      </w:pPr>
      <w:r w:rsidRPr="005025CD">
        <w:rPr>
          <w:lang w:val="cs-CZ"/>
        </w:rPr>
        <w:t>Emitent upíše Kryté dluhopisy na svůj majetkový účet vlastníka vedený v Centrálním depozitáři a následně bude Kryté dluhopisy sám prodávat investorům na základě příslušné dokumentace použité k prodeji a převodu takto upsaných Krytých dluhopisů.</w:t>
      </w:r>
    </w:p>
    <w:p w:rsidR="00B90CA0" w:rsidRPr="005025CD" w:rsidRDefault="00B90CA0" w:rsidP="00B90CA0">
      <w:pPr>
        <w:pStyle w:val="Level1"/>
        <w:numPr>
          <w:ilvl w:val="0"/>
          <w:numId w:val="38"/>
        </w:numPr>
        <w:rPr>
          <w:rFonts w:hint="eastAsia"/>
          <w:u w:val="single"/>
          <w:lang w:val="cs-CZ"/>
        </w:rPr>
      </w:pPr>
      <w:bookmarkStart w:id="96" w:name="_Toc373436372"/>
      <w:bookmarkStart w:id="97" w:name="_Toc256000029"/>
      <w:bookmarkStart w:id="98" w:name="_Toc433993900"/>
      <w:bookmarkStart w:id="99" w:name="_Toc441155780"/>
      <w:bookmarkStart w:id="100" w:name="_Toc441755380"/>
      <w:bookmarkStart w:id="101" w:name="_Toc457259486"/>
      <w:bookmarkStart w:id="102" w:name="_Toc468696757"/>
      <w:bookmarkStart w:id="103" w:name="_Toc507159344"/>
      <w:bookmarkStart w:id="104" w:name="_Ref508196974"/>
      <w:bookmarkStart w:id="105" w:name="_Ref508201876"/>
      <w:bookmarkStart w:id="106" w:name="_Toc10478023"/>
      <w:bookmarkStart w:id="107" w:name="_Ref11834743"/>
      <w:bookmarkStart w:id="108" w:name="_Ref11848323"/>
      <w:bookmarkStart w:id="109" w:name="_Ref35888122"/>
      <w:r w:rsidRPr="005025CD">
        <w:rPr>
          <w:u w:val="single"/>
          <w:lang w:val="cs-CZ"/>
        </w:rPr>
        <w:lastRenderedPageBreak/>
        <w:t>Status</w:t>
      </w:r>
      <w:bookmarkEnd w:id="96"/>
      <w:r w:rsidRPr="005025CD">
        <w:rPr>
          <w:u w:val="single"/>
          <w:lang w:val="cs-CZ"/>
        </w:rPr>
        <w:t xml:space="preserve"> </w:t>
      </w:r>
      <w:bookmarkEnd w:id="97"/>
      <w:bookmarkEnd w:id="98"/>
      <w:bookmarkEnd w:id="99"/>
      <w:bookmarkEnd w:id="100"/>
      <w:bookmarkEnd w:id="101"/>
      <w:bookmarkEnd w:id="102"/>
      <w:bookmarkEnd w:id="103"/>
      <w:bookmarkEnd w:id="104"/>
      <w:bookmarkEnd w:id="105"/>
      <w:bookmarkEnd w:id="106"/>
      <w:bookmarkEnd w:id="107"/>
      <w:bookmarkEnd w:id="108"/>
      <w:r w:rsidRPr="005025CD">
        <w:rPr>
          <w:u w:val="single"/>
          <w:lang w:val="cs-CZ"/>
        </w:rPr>
        <w:t>krytých dluhopisů</w:t>
      </w:r>
      <w:bookmarkEnd w:id="109"/>
    </w:p>
    <w:p w:rsidR="00B90CA0" w:rsidRPr="005025CD" w:rsidRDefault="00B90CA0" w:rsidP="00B90CA0">
      <w:pPr>
        <w:pStyle w:val="Level2"/>
        <w:numPr>
          <w:ilvl w:val="1"/>
          <w:numId w:val="38"/>
        </w:numPr>
        <w:rPr>
          <w:rFonts w:hint="eastAsia"/>
          <w:lang w:val="cs-CZ"/>
        </w:rPr>
      </w:pPr>
      <w:r w:rsidRPr="005025CD">
        <w:rPr>
          <w:lang w:val="cs-CZ"/>
        </w:rPr>
        <w:t>Kryté dluhopisy</w:t>
      </w:r>
    </w:p>
    <w:p w:rsidR="00B90CA0" w:rsidRPr="005025CD" w:rsidRDefault="00B90CA0" w:rsidP="00723DD2">
      <w:pPr>
        <w:pStyle w:val="Doctext0"/>
      </w:pPr>
      <w:proofErr w:type="spellStart"/>
      <w:r w:rsidRPr="005025CD">
        <w:t>Kryté</w:t>
      </w:r>
      <w:proofErr w:type="spellEnd"/>
      <w:r w:rsidRPr="005025CD">
        <w:t xml:space="preserve"> </w:t>
      </w:r>
      <w:proofErr w:type="spellStart"/>
      <w:r w:rsidRPr="005025CD">
        <w:t>dluhopisy</w:t>
      </w:r>
      <w:proofErr w:type="spellEnd"/>
      <w:r w:rsidRPr="005025CD">
        <w:t xml:space="preserve"> </w:t>
      </w:r>
      <w:proofErr w:type="spellStart"/>
      <w:r w:rsidRPr="005025CD">
        <w:t>mají</w:t>
      </w:r>
      <w:proofErr w:type="spellEnd"/>
      <w:r w:rsidRPr="005025CD">
        <w:t xml:space="preserve"> status </w:t>
      </w:r>
      <w:proofErr w:type="spellStart"/>
      <w:r w:rsidRPr="005025CD">
        <w:t>krytých</w:t>
      </w:r>
      <w:proofErr w:type="spellEnd"/>
      <w:r w:rsidRPr="005025CD">
        <w:t xml:space="preserve"> </w:t>
      </w:r>
      <w:proofErr w:type="spellStart"/>
      <w:r w:rsidRPr="005025CD">
        <w:t>dluhopisů</w:t>
      </w:r>
      <w:proofErr w:type="spellEnd"/>
      <w:r w:rsidRPr="005025CD">
        <w:t xml:space="preserve"> </w:t>
      </w:r>
      <w:proofErr w:type="spellStart"/>
      <w:r w:rsidRPr="005025CD">
        <w:t>dle</w:t>
      </w:r>
      <w:proofErr w:type="spellEnd"/>
      <w:r w:rsidRPr="005025CD">
        <w:t xml:space="preserve"> § 28 a </w:t>
      </w:r>
      <w:proofErr w:type="spellStart"/>
      <w:r w:rsidRPr="005025CD">
        <w:t>násl</w:t>
      </w:r>
      <w:proofErr w:type="spellEnd"/>
      <w:r w:rsidRPr="005025CD">
        <w:t xml:space="preserve">. </w:t>
      </w:r>
      <w:proofErr w:type="spellStart"/>
      <w:r w:rsidRPr="005025CD">
        <w:t>Zákona</w:t>
      </w:r>
      <w:proofErr w:type="spellEnd"/>
      <w:r w:rsidRPr="005025CD">
        <w:t xml:space="preserve"> o </w:t>
      </w:r>
      <w:proofErr w:type="spellStart"/>
      <w:r w:rsidRPr="005025CD">
        <w:t>dluhopisech</w:t>
      </w:r>
      <w:proofErr w:type="spellEnd"/>
      <w:r w:rsidRPr="005025CD">
        <w:t xml:space="preserve">, </w:t>
      </w:r>
      <w:proofErr w:type="spellStart"/>
      <w:r w:rsidRPr="005025CD">
        <w:t>přičemž</w:t>
      </w:r>
      <w:proofErr w:type="spellEnd"/>
      <w:r w:rsidRPr="005025CD">
        <w:t xml:space="preserve"> </w:t>
      </w:r>
      <w:proofErr w:type="spellStart"/>
      <w:r w:rsidRPr="005025CD">
        <w:t>jsou</w:t>
      </w:r>
      <w:proofErr w:type="spellEnd"/>
      <w:r w:rsidRPr="005025CD">
        <w:t xml:space="preserve"> s </w:t>
      </w:r>
      <w:proofErr w:type="spellStart"/>
      <w:r w:rsidRPr="005025CD">
        <w:t>nimi</w:t>
      </w:r>
      <w:proofErr w:type="spellEnd"/>
      <w:r w:rsidRPr="005025CD">
        <w:t xml:space="preserve"> </w:t>
      </w:r>
      <w:proofErr w:type="spellStart"/>
      <w:r w:rsidRPr="005025CD">
        <w:t>spojeny</w:t>
      </w:r>
      <w:proofErr w:type="spellEnd"/>
      <w:r w:rsidRPr="005025CD">
        <w:t xml:space="preserve"> </w:t>
      </w:r>
      <w:proofErr w:type="spellStart"/>
      <w:r w:rsidRPr="005025CD">
        <w:t>přímé</w:t>
      </w:r>
      <w:proofErr w:type="spellEnd"/>
      <w:r w:rsidRPr="005025CD">
        <w:t xml:space="preserve">, </w:t>
      </w:r>
      <w:proofErr w:type="spellStart"/>
      <w:r w:rsidRPr="005025CD">
        <w:t>nepodmíněné</w:t>
      </w:r>
      <w:proofErr w:type="spellEnd"/>
      <w:r w:rsidRPr="005025CD">
        <w:t xml:space="preserve">, </w:t>
      </w:r>
      <w:proofErr w:type="spellStart"/>
      <w:r w:rsidRPr="005025CD">
        <w:t>nepodřízené</w:t>
      </w:r>
      <w:proofErr w:type="spellEnd"/>
      <w:r w:rsidRPr="005025CD">
        <w:t xml:space="preserve"> a </w:t>
      </w:r>
      <w:proofErr w:type="spellStart"/>
      <w:r w:rsidRPr="005025CD">
        <w:t>nezajištěné</w:t>
      </w:r>
      <w:proofErr w:type="spellEnd"/>
      <w:r w:rsidRPr="005025CD">
        <w:t xml:space="preserve"> </w:t>
      </w:r>
      <w:proofErr w:type="spellStart"/>
      <w:r w:rsidRPr="005025CD">
        <w:t>pohledávky</w:t>
      </w:r>
      <w:proofErr w:type="spellEnd"/>
      <w:r w:rsidRPr="005025CD">
        <w:t xml:space="preserve"> </w:t>
      </w:r>
      <w:proofErr w:type="spellStart"/>
      <w:r w:rsidRPr="005025CD">
        <w:t>vůči</w:t>
      </w:r>
      <w:proofErr w:type="spellEnd"/>
      <w:r w:rsidRPr="005025CD">
        <w:t xml:space="preserve"> </w:t>
      </w:r>
      <w:proofErr w:type="spellStart"/>
      <w:r w:rsidRPr="005025CD">
        <w:t>Emitentovi</w:t>
      </w:r>
      <w:proofErr w:type="spellEnd"/>
      <w:r w:rsidRPr="005025CD">
        <w:t xml:space="preserve">. </w:t>
      </w:r>
      <w:proofErr w:type="spellStart"/>
      <w:r w:rsidRPr="005025CD">
        <w:t>Kryté</w:t>
      </w:r>
      <w:proofErr w:type="spellEnd"/>
      <w:r w:rsidRPr="005025CD">
        <w:t xml:space="preserve"> </w:t>
      </w:r>
      <w:proofErr w:type="spellStart"/>
      <w:r w:rsidRPr="005025CD">
        <w:t>dluhopisy</w:t>
      </w:r>
      <w:proofErr w:type="spellEnd"/>
      <w:r w:rsidRPr="005025CD">
        <w:t xml:space="preserve"> </w:t>
      </w:r>
      <w:proofErr w:type="spellStart"/>
      <w:r w:rsidRPr="005025CD">
        <w:t>Emitent</w:t>
      </w:r>
      <w:proofErr w:type="spellEnd"/>
      <w:r w:rsidRPr="005025CD">
        <w:t xml:space="preserve"> </w:t>
      </w:r>
      <w:proofErr w:type="spellStart"/>
      <w:r w:rsidRPr="005025CD">
        <w:t>označuje</w:t>
      </w:r>
      <w:proofErr w:type="spellEnd"/>
      <w:r w:rsidRPr="005025CD">
        <w:t xml:space="preserve"> </w:t>
      </w:r>
      <w:proofErr w:type="spellStart"/>
      <w:r w:rsidRPr="005025CD">
        <w:t>jako</w:t>
      </w:r>
      <w:proofErr w:type="spellEnd"/>
      <w:r w:rsidRPr="005025CD">
        <w:t xml:space="preserve"> CRR v </w:t>
      </w:r>
      <w:proofErr w:type="spellStart"/>
      <w:r w:rsidRPr="005025CD">
        <w:t>souladu</w:t>
      </w:r>
      <w:proofErr w:type="spellEnd"/>
      <w:r w:rsidRPr="005025CD">
        <w:t xml:space="preserve"> s § 28c </w:t>
      </w:r>
      <w:proofErr w:type="spellStart"/>
      <w:r w:rsidRPr="005025CD">
        <w:t>odst</w:t>
      </w:r>
      <w:proofErr w:type="spellEnd"/>
      <w:r w:rsidRPr="005025CD">
        <w:t xml:space="preserve">. </w:t>
      </w:r>
      <w:proofErr w:type="gramStart"/>
      <w:r w:rsidRPr="005025CD">
        <w:t>2</w:t>
      </w:r>
      <w:proofErr w:type="gramEnd"/>
      <w:r w:rsidRPr="005025CD">
        <w:t xml:space="preserve"> </w:t>
      </w:r>
      <w:proofErr w:type="spellStart"/>
      <w:r w:rsidRPr="005025CD">
        <w:t>Zákona</w:t>
      </w:r>
      <w:proofErr w:type="spellEnd"/>
      <w:r w:rsidRPr="005025CD">
        <w:t xml:space="preserve"> o </w:t>
      </w:r>
      <w:proofErr w:type="spellStart"/>
      <w:r w:rsidRPr="005025CD">
        <w:t>dluhopisech</w:t>
      </w:r>
      <w:proofErr w:type="spellEnd"/>
      <w:r w:rsidRPr="005025CD">
        <w:t xml:space="preserve"> a </w:t>
      </w:r>
      <w:proofErr w:type="spellStart"/>
      <w:r w:rsidRPr="005025CD">
        <w:t>zajistí</w:t>
      </w:r>
      <w:proofErr w:type="spellEnd"/>
      <w:r w:rsidRPr="005025CD">
        <w:t xml:space="preserve"> </w:t>
      </w:r>
      <w:proofErr w:type="spellStart"/>
      <w:r w:rsidRPr="005025CD">
        <w:t>ve</w:t>
      </w:r>
      <w:proofErr w:type="spellEnd"/>
      <w:r w:rsidRPr="005025CD">
        <w:t xml:space="preserve"> </w:t>
      </w:r>
      <w:proofErr w:type="spellStart"/>
      <w:r w:rsidRPr="005025CD">
        <w:t>vztahu</w:t>
      </w:r>
      <w:proofErr w:type="spellEnd"/>
      <w:r w:rsidRPr="005025CD">
        <w:t xml:space="preserve"> k </w:t>
      </w:r>
      <w:proofErr w:type="spellStart"/>
      <w:r w:rsidRPr="005025CD">
        <w:t>nim</w:t>
      </w:r>
      <w:proofErr w:type="spellEnd"/>
      <w:r w:rsidRPr="005025CD">
        <w:t xml:space="preserve"> </w:t>
      </w:r>
      <w:proofErr w:type="spellStart"/>
      <w:r w:rsidRPr="005025CD">
        <w:t>plnění</w:t>
      </w:r>
      <w:proofErr w:type="spellEnd"/>
      <w:r w:rsidRPr="005025CD">
        <w:t xml:space="preserve"> </w:t>
      </w:r>
      <w:proofErr w:type="spellStart"/>
      <w:r w:rsidRPr="005025CD">
        <w:t>požadavků</w:t>
      </w:r>
      <w:proofErr w:type="spellEnd"/>
      <w:r w:rsidRPr="005025CD">
        <w:t xml:space="preserve"> </w:t>
      </w:r>
      <w:proofErr w:type="spellStart"/>
      <w:r w:rsidRPr="005025CD">
        <w:t>dle</w:t>
      </w:r>
      <w:proofErr w:type="spellEnd"/>
      <w:r w:rsidRPr="005025CD">
        <w:t xml:space="preserve"> </w:t>
      </w:r>
      <w:proofErr w:type="spellStart"/>
      <w:r w:rsidRPr="005025CD">
        <w:t>článku</w:t>
      </w:r>
      <w:proofErr w:type="spellEnd"/>
      <w:r w:rsidRPr="005025CD">
        <w:t xml:space="preserve"> 129 CRR.</w:t>
      </w:r>
    </w:p>
    <w:p w:rsidR="00B90CA0" w:rsidRPr="005025CD" w:rsidRDefault="00B90CA0" w:rsidP="00723DD2">
      <w:pPr>
        <w:pStyle w:val="Doctext0"/>
      </w:pPr>
      <w:proofErr w:type="spellStart"/>
      <w:r w:rsidRPr="005025CD">
        <w:t>Ačkoliv</w:t>
      </w:r>
      <w:proofErr w:type="spellEnd"/>
      <w:r w:rsidRPr="005025CD">
        <w:t xml:space="preserve"> </w:t>
      </w:r>
      <w:proofErr w:type="spellStart"/>
      <w:r w:rsidRPr="005025CD">
        <w:t>jsou</w:t>
      </w:r>
      <w:proofErr w:type="spellEnd"/>
      <w:r w:rsidRPr="005025CD">
        <w:t xml:space="preserve"> s </w:t>
      </w:r>
      <w:proofErr w:type="spellStart"/>
      <w:r w:rsidRPr="005025CD">
        <w:t>Krytými</w:t>
      </w:r>
      <w:proofErr w:type="spellEnd"/>
      <w:r w:rsidRPr="005025CD">
        <w:t xml:space="preserve"> </w:t>
      </w:r>
      <w:proofErr w:type="spellStart"/>
      <w:r w:rsidRPr="005025CD">
        <w:t>dluhopisy</w:t>
      </w:r>
      <w:proofErr w:type="spellEnd"/>
      <w:r w:rsidRPr="005025CD">
        <w:t xml:space="preserve"> </w:t>
      </w:r>
      <w:proofErr w:type="spellStart"/>
      <w:r w:rsidRPr="005025CD">
        <w:t>spojeny</w:t>
      </w:r>
      <w:proofErr w:type="spellEnd"/>
      <w:r w:rsidRPr="005025CD">
        <w:t xml:space="preserve"> </w:t>
      </w:r>
      <w:proofErr w:type="spellStart"/>
      <w:r w:rsidRPr="005025CD">
        <w:t>nepodřízené</w:t>
      </w:r>
      <w:proofErr w:type="spellEnd"/>
      <w:r w:rsidRPr="005025CD">
        <w:t xml:space="preserve"> a </w:t>
      </w:r>
      <w:proofErr w:type="spellStart"/>
      <w:r w:rsidRPr="005025CD">
        <w:t>nezajištěné</w:t>
      </w:r>
      <w:proofErr w:type="spellEnd"/>
      <w:r w:rsidRPr="005025CD">
        <w:t xml:space="preserve"> </w:t>
      </w:r>
      <w:proofErr w:type="spellStart"/>
      <w:r w:rsidRPr="005025CD">
        <w:t>pohledávky</w:t>
      </w:r>
      <w:proofErr w:type="spellEnd"/>
      <w:r w:rsidRPr="005025CD">
        <w:t xml:space="preserve"> </w:t>
      </w:r>
      <w:proofErr w:type="spellStart"/>
      <w:r w:rsidRPr="005025CD">
        <w:t>vůči</w:t>
      </w:r>
      <w:proofErr w:type="spellEnd"/>
      <w:r w:rsidRPr="005025CD">
        <w:t xml:space="preserve"> </w:t>
      </w:r>
      <w:proofErr w:type="spellStart"/>
      <w:r w:rsidRPr="005025CD">
        <w:t>Emitentovi</w:t>
      </w:r>
      <w:proofErr w:type="spellEnd"/>
      <w:r w:rsidRPr="005025CD">
        <w:t>, v </w:t>
      </w:r>
      <w:proofErr w:type="spellStart"/>
      <w:r w:rsidRPr="005025CD">
        <w:t>případě</w:t>
      </w:r>
      <w:proofErr w:type="spellEnd"/>
      <w:r w:rsidRPr="005025CD">
        <w:t xml:space="preserve"> </w:t>
      </w:r>
      <w:proofErr w:type="spellStart"/>
      <w:r w:rsidRPr="005025CD">
        <w:t>jmenování</w:t>
      </w:r>
      <w:proofErr w:type="spellEnd"/>
      <w:r w:rsidRPr="005025CD">
        <w:t xml:space="preserve"> </w:t>
      </w:r>
      <w:proofErr w:type="spellStart"/>
      <w:r w:rsidRPr="005025CD">
        <w:t>nuceného</w:t>
      </w:r>
      <w:proofErr w:type="spellEnd"/>
      <w:r w:rsidRPr="005025CD">
        <w:t xml:space="preserve"> </w:t>
      </w:r>
      <w:proofErr w:type="spellStart"/>
      <w:r w:rsidRPr="005025CD">
        <w:t>správce</w:t>
      </w:r>
      <w:proofErr w:type="spellEnd"/>
      <w:r w:rsidRPr="005025CD">
        <w:t xml:space="preserve"> </w:t>
      </w:r>
      <w:proofErr w:type="spellStart"/>
      <w:r w:rsidRPr="005025CD">
        <w:t>krytých</w:t>
      </w:r>
      <w:proofErr w:type="spellEnd"/>
      <w:r w:rsidRPr="005025CD">
        <w:t xml:space="preserve"> </w:t>
      </w:r>
      <w:proofErr w:type="spellStart"/>
      <w:r w:rsidRPr="005025CD">
        <w:t>bloků</w:t>
      </w:r>
      <w:proofErr w:type="spellEnd"/>
      <w:r w:rsidRPr="005025CD">
        <w:t xml:space="preserve"> </w:t>
      </w:r>
      <w:proofErr w:type="spellStart"/>
      <w:r w:rsidRPr="005025CD">
        <w:t>ve</w:t>
      </w:r>
      <w:proofErr w:type="spellEnd"/>
      <w:r w:rsidRPr="005025CD">
        <w:t xml:space="preserve"> </w:t>
      </w:r>
      <w:proofErr w:type="spellStart"/>
      <w:r w:rsidRPr="005025CD">
        <w:t>vztahu</w:t>
      </w:r>
      <w:proofErr w:type="spellEnd"/>
      <w:r w:rsidRPr="005025CD">
        <w:t xml:space="preserve"> </w:t>
      </w:r>
      <w:proofErr w:type="spellStart"/>
      <w:r w:rsidRPr="005025CD">
        <w:t>ke</w:t>
      </w:r>
      <w:proofErr w:type="spellEnd"/>
      <w:r w:rsidRPr="005025CD">
        <w:t xml:space="preserve"> </w:t>
      </w:r>
      <w:proofErr w:type="spellStart"/>
      <w:r w:rsidRPr="005025CD">
        <w:t>všem</w:t>
      </w:r>
      <w:proofErr w:type="spellEnd"/>
      <w:r w:rsidRPr="005025CD">
        <w:t xml:space="preserve"> </w:t>
      </w:r>
      <w:proofErr w:type="spellStart"/>
      <w:r w:rsidRPr="005025CD">
        <w:t>krytým</w:t>
      </w:r>
      <w:proofErr w:type="spellEnd"/>
      <w:r w:rsidRPr="005025CD">
        <w:t xml:space="preserve"> </w:t>
      </w:r>
      <w:proofErr w:type="spellStart"/>
      <w:r w:rsidRPr="005025CD">
        <w:t>blokům</w:t>
      </w:r>
      <w:proofErr w:type="spellEnd"/>
      <w:r w:rsidRPr="005025CD">
        <w:t xml:space="preserve"> </w:t>
      </w:r>
      <w:proofErr w:type="spellStart"/>
      <w:r w:rsidRPr="005025CD">
        <w:t>Emitenta</w:t>
      </w:r>
      <w:proofErr w:type="spellEnd"/>
      <w:r w:rsidRPr="005025CD">
        <w:t xml:space="preserve"> </w:t>
      </w:r>
      <w:proofErr w:type="spellStart"/>
      <w:r w:rsidRPr="005025CD">
        <w:t>dle</w:t>
      </w:r>
      <w:proofErr w:type="spellEnd"/>
      <w:r w:rsidRPr="005025CD">
        <w:t xml:space="preserve"> § 32a </w:t>
      </w:r>
      <w:proofErr w:type="spellStart"/>
      <w:r w:rsidRPr="005025CD">
        <w:t>odst</w:t>
      </w:r>
      <w:proofErr w:type="spellEnd"/>
      <w:r w:rsidRPr="005025CD">
        <w:t xml:space="preserve">. 1 </w:t>
      </w:r>
      <w:proofErr w:type="spellStart"/>
      <w:r w:rsidRPr="005025CD">
        <w:t>Zákona</w:t>
      </w:r>
      <w:proofErr w:type="spellEnd"/>
      <w:r w:rsidRPr="005025CD">
        <w:t xml:space="preserve"> o </w:t>
      </w:r>
      <w:proofErr w:type="spellStart"/>
      <w:r w:rsidRPr="005025CD">
        <w:t>dluhopisech</w:t>
      </w:r>
      <w:proofErr w:type="spellEnd"/>
      <w:r w:rsidRPr="005025CD">
        <w:t xml:space="preserve"> se </w:t>
      </w:r>
      <w:proofErr w:type="spellStart"/>
      <w:r w:rsidRPr="005025CD">
        <w:t>pohledávky</w:t>
      </w:r>
      <w:proofErr w:type="spellEnd"/>
      <w:r w:rsidRPr="005025CD">
        <w:t xml:space="preserve"> </w:t>
      </w:r>
      <w:proofErr w:type="spellStart"/>
      <w:r w:rsidRPr="005025CD">
        <w:t>vůči</w:t>
      </w:r>
      <w:proofErr w:type="spellEnd"/>
      <w:r w:rsidRPr="005025CD">
        <w:t xml:space="preserve"> </w:t>
      </w:r>
      <w:proofErr w:type="spellStart"/>
      <w:r w:rsidRPr="005025CD">
        <w:t>Emitentovi</w:t>
      </w:r>
      <w:proofErr w:type="spellEnd"/>
      <w:r w:rsidRPr="005025CD">
        <w:t xml:space="preserve"> </w:t>
      </w:r>
      <w:proofErr w:type="spellStart"/>
      <w:proofErr w:type="gramStart"/>
      <w:r w:rsidRPr="005025CD">
        <w:t>na</w:t>
      </w:r>
      <w:proofErr w:type="spellEnd"/>
      <w:proofErr w:type="gramEnd"/>
      <w:r w:rsidRPr="005025CD">
        <w:t xml:space="preserve"> </w:t>
      </w:r>
      <w:proofErr w:type="spellStart"/>
      <w:r w:rsidRPr="005025CD">
        <w:t>splacení</w:t>
      </w:r>
      <w:proofErr w:type="spellEnd"/>
      <w:r w:rsidRPr="005025CD">
        <w:t xml:space="preserve"> </w:t>
      </w:r>
      <w:proofErr w:type="spellStart"/>
      <w:r w:rsidRPr="005025CD">
        <w:t>dosud</w:t>
      </w:r>
      <w:proofErr w:type="spellEnd"/>
      <w:r w:rsidRPr="005025CD">
        <w:t xml:space="preserve"> </w:t>
      </w:r>
      <w:proofErr w:type="spellStart"/>
      <w:r w:rsidRPr="005025CD">
        <w:t>nesplacené</w:t>
      </w:r>
      <w:proofErr w:type="spellEnd"/>
      <w:r w:rsidRPr="005025CD">
        <w:t xml:space="preserve"> </w:t>
      </w:r>
      <w:proofErr w:type="spellStart"/>
      <w:r w:rsidRPr="005025CD">
        <w:t>části</w:t>
      </w:r>
      <w:proofErr w:type="spellEnd"/>
      <w:r w:rsidRPr="005025CD">
        <w:t xml:space="preserve"> </w:t>
      </w:r>
      <w:proofErr w:type="spellStart"/>
      <w:r w:rsidRPr="005025CD">
        <w:t>jistiny</w:t>
      </w:r>
      <w:proofErr w:type="spellEnd"/>
      <w:r w:rsidRPr="005025CD">
        <w:t xml:space="preserve"> </w:t>
      </w:r>
      <w:proofErr w:type="spellStart"/>
      <w:r w:rsidRPr="005025CD">
        <w:t>Krytých</w:t>
      </w:r>
      <w:proofErr w:type="spellEnd"/>
      <w:r w:rsidRPr="005025CD">
        <w:t xml:space="preserve"> </w:t>
      </w:r>
      <w:proofErr w:type="spellStart"/>
      <w:r w:rsidRPr="005025CD">
        <w:t>dluhopisů</w:t>
      </w:r>
      <w:proofErr w:type="spellEnd"/>
      <w:r w:rsidRPr="005025CD">
        <w:t xml:space="preserve"> a </w:t>
      </w:r>
      <w:proofErr w:type="spellStart"/>
      <w:r w:rsidRPr="005025CD">
        <w:t>poměrného</w:t>
      </w:r>
      <w:proofErr w:type="spellEnd"/>
      <w:r w:rsidRPr="005025CD">
        <w:t xml:space="preserve"> </w:t>
      </w:r>
      <w:proofErr w:type="spellStart"/>
      <w:r w:rsidRPr="005025CD">
        <w:t>výnosu</w:t>
      </w:r>
      <w:proofErr w:type="spellEnd"/>
      <w:r w:rsidRPr="005025CD">
        <w:t xml:space="preserve"> (</w:t>
      </w:r>
      <w:proofErr w:type="spellStart"/>
      <w:r w:rsidRPr="005025CD">
        <w:rPr>
          <w:b/>
        </w:rPr>
        <w:t>Pohledávky</w:t>
      </w:r>
      <w:proofErr w:type="spellEnd"/>
      <w:r w:rsidRPr="005025CD">
        <w:rPr>
          <w:b/>
        </w:rPr>
        <w:t xml:space="preserve"> z </w:t>
      </w:r>
      <w:proofErr w:type="spellStart"/>
      <w:r w:rsidRPr="005025CD">
        <w:rPr>
          <w:b/>
        </w:rPr>
        <w:t>krytých</w:t>
      </w:r>
      <w:proofErr w:type="spellEnd"/>
      <w:r w:rsidRPr="005025CD">
        <w:rPr>
          <w:b/>
        </w:rPr>
        <w:t xml:space="preserve"> </w:t>
      </w:r>
      <w:proofErr w:type="spellStart"/>
      <w:r w:rsidRPr="005025CD">
        <w:rPr>
          <w:b/>
        </w:rPr>
        <w:t>dluhopisů</w:t>
      </w:r>
      <w:proofErr w:type="spellEnd"/>
      <w:r w:rsidRPr="005025CD">
        <w:rPr>
          <w:b/>
        </w:rPr>
        <w:fldChar w:fldCharType="begin"/>
      </w:r>
      <w:r w:rsidRPr="005025CD">
        <w:instrText xml:space="preserve"> XE "Pohledávky z krytých dluhopisů" </w:instrText>
      </w:r>
      <w:r w:rsidRPr="005025CD">
        <w:rPr>
          <w:b/>
        </w:rPr>
        <w:fldChar w:fldCharType="end"/>
      </w:r>
      <w:r w:rsidRPr="005025CD">
        <w:t xml:space="preserve">), </w:t>
      </w:r>
      <w:proofErr w:type="spellStart"/>
      <w:r w:rsidRPr="005025CD">
        <w:t>uspokojí</w:t>
      </w:r>
      <w:proofErr w:type="spellEnd"/>
      <w:r w:rsidRPr="005025CD">
        <w:t xml:space="preserve"> </w:t>
      </w:r>
      <w:proofErr w:type="spellStart"/>
      <w:r w:rsidRPr="005025CD">
        <w:t>podle</w:t>
      </w:r>
      <w:proofErr w:type="spellEnd"/>
      <w:r w:rsidRPr="005025CD">
        <w:t xml:space="preserve"> </w:t>
      </w:r>
      <w:proofErr w:type="spellStart"/>
      <w:r w:rsidRPr="005025CD">
        <w:t>zvláštních</w:t>
      </w:r>
      <w:proofErr w:type="spellEnd"/>
      <w:r w:rsidRPr="005025CD">
        <w:t xml:space="preserve"> </w:t>
      </w:r>
      <w:proofErr w:type="spellStart"/>
      <w:r w:rsidRPr="005025CD">
        <w:t>pravidel</w:t>
      </w:r>
      <w:proofErr w:type="spellEnd"/>
      <w:r w:rsidRPr="005025CD">
        <w:t xml:space="preserve"> z </w:t>
      </w:r>
      <w:proofErr w:type="spellStart"/>
      <w:r w:rsidRPr="005025CD">
        <w:t>krycího</w:t>
      </w:r>
      <w:proofErr w:type="spellEnd"/>
      <w:r w:rsidRPr="005025CD">
        <w:t xml:space="preserve"> </w:t>
      </w:r>
      <w:proofErr w:type="spellStart"/>
      <w:r w:rsidRPr="005025CD">
        <w:t>portfolia</w:t>
      </w:r>
      <w:proofErr w:type="spellEnd"/>
      <w:r w:rsidRPr="005025CD">
        <w:t xml:space="preserve">, </w:t>
      </w:r>
      <w:proofErr w:type="spellStart"/>
      <w:r w:rsidRPr="005025CD">
        <w:t>jež</w:t>
      </w:r>
      <w:proofErr w:type="spellEnd"/>
      <w:r w:rsidRPr="005025CD">
        <w:t xml:space="preserve"> </w:t>
      </w:r>
      <w:proofErr w:type="spellStart"/>
      <w:r w:rsidRPr="005025CD">
        <w:t>slouží</w:t>
      </w:r>
      <w:proofErr w:type="spellEnd"/>
      <w:r w:rsidRPr="005025CD">
        <w:t xml:space="preserve"> </w:t>
      </w:r>
      <w:proofErr w:type="spellStart"/>
      <w:r w:rsidRPr="005025CD">
        <w:t>přednostně</w:t>
      </w:r>
      <w:proofErr w:type="spellEnd"/>
      <w:r w:rsidRPr="005025CD">
        <w:t xml:space="preserve"> k </w:t>
      </w:r>
      <w:proofErr w:type="spellStart"/>
      <w:r w:rsidRPr="005025CD">
        <w:t>uspokojení</w:t>
      </w:r>
      <w:proofErr w:type="spellEnd"/>
      <w:r w:rsidRPr="005025CD">
        <w:t xml:space="preserve"> </w:t>
      </w:r>
      <w:proofErr w:type="spellStart"/>
      <w:r w:rsidRPr="005025CD">
        <w:t>pohledávek</w:t>
      </w:r>
      <w:proofErr w:type="spellEnd"/>
      <w:r w:rsidRPr="005025CD">
        <w:t xml:space="preserve"> </w:t>
      </w:r>
      <w:proofErr w:type="spellStart"/>
      <w:r w:rsidRPr="005025CD">
        <w:t>vlastníků</w:t>
      </w:r>
      <w:proofErr w:type="spellEnd"/>
      <w:r w:rsidRPr="005025CD">
        <w:t xml:space="preserve"> </w:t>
      </w:r>
      <w:proofErr w:type="spellStart"/>
      <w:r w:rsidRPr="005025CD">
        <w:t>Krytých</w:t>
      </w:r>
      <w:proofErr w:type="spellEnd"/>
      <w:r w:rsidRPr="005025CD">
        <w:t xml:space="preserve"> </w:t>
      </w:r>
      <w:proofErr w:type="spellStart"/>
      <w:r w:rsidRPr="005025CD">
        <w:t>dluhopisů</w:t>
      </w:r>
      <w:proofErr w:type="spellEnd"/>
      <w:r w:rsidRPr="005025CD">
        <w:t xml:space="preserve"> a </w:t>
      </w:r>
      <w:proofErr w:type="spellStart"/>
      <w:r w:rsidRPr="005025CD">
        <w:t>dalších</w:t>
      </w:r>
      <w:proofErr w:type="spellEnd"/>
      <w:r w:rsidRPr="005025CD">
        <w:t xml:space="preserve"> </w:t>
      </w:r>
      <w:proofErr w:type="spellStart"/>
      <w:r w:rsidRPr="005025CD">
        <w:t>dluhů</w:t>
      </w:r>
      <w:proofErr w:type="spellEnd"/>
      <w:r w:rsidRPr="005025CD">
        <w:t xml:space="preserve">, </w:t>
      </w:r>
      <w:proofErr w:type="spellStart"/>
      <w:r w:rsidRPr="005025CD">
        <w:t>které</w:t>
      </w:r>
      <w:proofErr w:type="spellEnd"/>
      <w:r w:rsidRPr="005025CD">
        <w:t xml:space="preserve"> </w:t>
      </w:r>
      <w:proofErr w:type="spellStart"/>
      <w:r w:rsidRPr="005025CD">
        <w:t>náleží</w:t>
      </w:r>
      <w:proofErr w:type="spellEnd"/>
      <w:r w:rsidRPr="005025CD">
        <w:t xml:space="preserve"> do </w:t>
      </w:r>
      <w:proofErr w:type="spellStart"/>
      <w:r w:rsidRPr="005025CD">
        <w:t>téhož</w:t>
      </w:r>
      <w:proofErr w:type="spellEnd"/>
      <w:r w:rsidRPr="005025CD">
        <w:t xml:space="preserve"> </w:t>
      </w:r>
      <w:proofErr w:type="spellStart"/>
      <w:r w:rsidRPr="005025CD">
        <w:t>krytého</w:t>
      </w:r>
      <w:proofErr w:type="spellEnd"/>
      <w:r w:rsidRPr="005025CD">
        <w:t xml:space="preserve"> </w:t>
      </w:r>
      <w:proofErr w:type="spellStart"/>
      <w:r w:rsidRPr="005025CD">
        <w:t>bloku</w:t>
      </w:r>
      <w:proofErr w:type="spellEnd"/>
      <w:r w:rsidRPr="005025CD">
        <w:t xml:space="preserve">. </w:t>
      </w:r>
    </w:p>
    <w:p w:rsidR="00B90CA0" w:rsidRPr="005025CD" w:rsidRDefault="00B90CA0" w:rsidP="00723DD2">
      <w:pPr>
        <w:pStyle w:val="Doctext0"/>
      </w:pPr>
      <w:proofErr w:type="spellStart"/>
      <w:r w:rsidRPr="005025CD">
        <w:t>Kryté</w:t>
      </w:r>
      <w:proofErr w:type="spellEnd"/>
      <w:r w:rsidRPr="005025CD">
        <w:t xml:space="preserve"> </w:t>
      </w:r>
      <w:proofErr w:type="spellStart"/>
      <w:r w:rsidRPr="005025CD">
        <w:t>dluhopisy</w:t>
      </w:r>
      <w:proofErr w:type="spellEnd"/>
      <w:r w:rsidRPr="005025CD">
        <w:t xml:space="preserve"> </w:t>
      </w:r>
      <w:proofErr w:type="spellStart"/>
      <w:r w:rsidRPr="005025CD">
        <w:t>jsou</w:t>
      </w:r>
      <w:proofErr w:type="spellEnd"/>
      <w:r w:rsidRPr="005025CD">
        <w:t xml:space="preserve"> </w:t>
      </w:r>
      <w:proofErr w:type="spellStart"/>
      <w:r w:rsidRPr="005025CD">
        <w:t>vydávány</w:t>
      </w:r>
      <w:proofErr w:type="spellEnd"/>
      <w:r w:rsidRPr="005025CD">
        <w:t xml:space="preserve"> </w:t>
      </w:r>
      <w:proofErr w:type="spellStart"/>
      <w:r w:rsidRPr="005025CD">
        <w:t>jako</w:t>
      </w:r>
      <w:proofErr w:type="spellEnd"/>
      <w:r w:rsidRPr="005025CD">
        <w:t xml:space="preserve"> </w:t>
      </w:r>
      <w:proofErr w:type="spellStart"/>
      <w:r w:rsidRPr="005025CD">
        <w:t>hypoteční</w:t>
      </w:r>
      <w:proofErr w:type="spellEnd"/>
      <w:r w:rsidRPr="005025CD">
        <w:t xml:space="preserve"> </w:t>
      </w:r>
      <w:proofErr w:type="spellStart"/>
      <w:r w:rsidRPr="005025CD">
        <w:t>zástavní</w:t>
      </w:r>
      <w:proofErr w:type="spellEnd"/>
      <w:r w:rsidRPr="005025CD">
        <w:t xml:space="preserve"> </w:t>
      </w:r>
      <w:proofErr w:type="spellStart"/>
      <w:r w:rsidRPr="005025CD">
        <w:t>listy</w:t>
      </w:r>
      <w:proofErr w:type="spellEnd"/>
      <w:r w:rsidRPr="005025CD">
        <w:t xml:space="preserve">, u </w:t>
      </w:r>
      <w:proofErr w:type="spellStart"/>
      <w:r w:rsidRPr="005025CD">
        <w:t>nichž</w:t>
      </w:r>
      <w:proofErr w:type="spellEnd"/>
      <w:r w:rsidRPr="005025CD">
        <w:t xml:space="preserve"> </w:t>
      </w:r>
      <w:proofErr w:type="spellStart"/>
      <w:r w:rsidRPr="005025CD">
        <w:t>platí</w:t>
      </w:r>
      <w:proofErr w:type="spellEnd"/>
      <w:r w:rsidRPr="005025CD">
        <w:t xml:space="preserve">, </w:t>
      </w:r>
      <w:proofErr w:type="spellStart"/>
      <w:r w:rsidRPr="005025CD">
        <w:t>že</w:t>
      </w:r>
      <w:proofErr w:type="spellEnd"/>
      <w:r w:rsidRPr="005025CD">
        <w:t xml:space="preserve"> </w:t>
      </w:r>
      <w:proofErr w:type="spellStart"/>
      <w:r w:rsidRPr="005025CD">
        <w:t>souhrnná</w:t>
      </w:r>
      <w:proofErr w:type="spellEnd"/>
      <w:r w:rsidRPr="005025CD">
        <w:t xml:space="preserve"> </w:t>
      </w:r>
      <w:proofErr w:type="spellStart"/>
      <w:r w:rsidRPr="005025CD">
        <w:t>hodnota</w:t>
      </w:r>
      <w:proofErr w:type="spellEnd"/>
      <w:r w:rsidRPr="005025CD">
        <w:t xml:space="preserve"> </w:t>
      </w:r>
      <w:proofErr w:type="spellStart"/>
      <w:r w:rsidRPr="005025CD">
        <w:t>pohledávek</w:t>
      </w:r>
      <w:proofErr w:type="spellEnd"/>
      <w:r w:rsidRPr="005025CD">
        <w:t xml:space="preserve"> z </w:t>
      </w:r>
      <w:proofErr w:type="spellStart"/>
      <w:r w:rsidRPr="005025CD">
        <w:t>hypotečních</w:t>
      </w:r>
      <w:proofErr w:type="spellEnd"/>
      <w:r w:rsidRPr="005025CD">
        <w:t xml:space="preserve"> </w:t>
      </w:r>
      <w:proofErr w:type="spellStart"/>
      <w:r w:rsidRPr="005025CD">
        <w:t>úvěrů</w:t>
      </w:r>
      <w:proofErr w:type="spellEnd"/>
      <w:r w:rsidRPr="005025CD">
        <w:t xml:space="preserve"> (</w:t>
      </w:r>
      <w:proofErr w:type="spellStart"/>
      <w:r w:rsidRPr="005025CD">
        <w:t>i</w:t>
      </w:r>
      <w:proofErr w:type="spellEnd"/>
      <w:r w:rsidRPr="005025CD">
        <w:t xml:space="preserve">) </w:t>
      </w:r>
      <w:proofErr w:type="spellStart"/>
      <w:r w:rsidRPr="005025CD">
        <w:t>podle</w:t>
      </w:r>
      <w:proofErr w:type="spellEnd"/>
      <w:r w:rsidRPr="005025CD">
        <w:t xml:space="preserve"> § 31 </w:t>
      </w:r>
      <w:proofErr w:type="spellStart"/>
      <w:r w:rsidRPr="005025CD">
        <w:t>odst</w:t>
      </w:r>
      <w:proofErr w:type="spellEnd"/>
      <w:r w:rsidRPr="005025CD">
        <w:t xml:space="preserve">. </w:t>
      </w:r>
      <w:proofErr w:type="gramStart"/>
      <w:r w:rsidRPr="005025CD">
        <w:t>2</w:t>
      </w:r>
      <w:proofErr w:type="gramEnd"/>
      <w:r w:rsidRPr="005025CD">
        <w:t xml:space="preserve"> </w:t>
      </w:r>
      <w:proofErr w:type="spellStart"/>
      <w:r w:rsidRPr="005025CD">
        <w:t>písm</w:t>
      </w:r>
      <w:proofErr w:type="spellEnd"/>
      <w:r w:rsidRPr="005025CD">
        <w:t xml:space="preserve">. a) </w:t>
      </w:r>
      <w:proofErr w:type="spellStart"/>
      <w:r w:rsidRPr="005025CD">
        <w:t>Zákona</w:t>
      </w:r>
      <w:proofErr w:type="spellEnd"/>
      <w:r w:rsidRPr="005025CD">
        <w:t xml:space="preserve"> o </w:t>
      </w:r>
      <w:proofErr w:type="spellStart"/>
      <w:r w:rsidRPr="005025CD">
        <w:t>dluhopisech</w:t>
      </w:r>
      <w:proofErr w:type="spellEnd"/>
      <w:r w:rsidRPr="005025CD">
        <w:t xml:space="preserve"> a (ii) </w:t>
      </w:r>
      <w:proofErr w:type="spellStart"/>
      <w:r w:rsidRPr="005025CD">
        <w:t>podle</w:t>
      </w:r>
      <w:proofErr w:type="spellEnd"/>
      <w:r w:rsidRPr="005025CD">
        <w:t xml:space="preserve"> </w:t>
      </w:r>
      <w:proofErr w:type="spellStart"/>
      <w:r w:rsidRPr="005025CD">
        <w:t>článku</w:t>
      </w:r>
      <w:proofErr w:type="spellEnd"/>
      <w:r w:rsidRPr="005025CD">
        <w:t xml:space="preserve"> 129 </w:t>
      </w:r>
      <w:proofErr w:type="spellStart"/>
      <w:r w:rsidRPr="005025CD">
        <w:t>odst</w:t>
      </w:r>
      <w:proofErr w:type="spellEnd"/>
      <w:r w:rsidRPr="005025CD">
        <w:t xml:space="preserve">. </w:t>
      </w:r>
      <w:proofErr w:type="gramStart"/>
      <w:r w:rsidRPr="005025CD">
        <w:t>1</w:t>
      </w:r>
      <w:proofErr w:type="gramEnd"/>
      <w:r w:rsidRPr="005025CD">
        <w:t xml:space="preserve"> </w:t>
      </w:r>
      <w:proofErr w:type="spellStart"/>
      <w:r w:rsidRPr="005025CD">
        <w:t>písm</w:t>
      </w:r>
      <w:proofErr w:type="spellEnd"/>
      <w:r w:rsidRPr="005025CD">
        <w:t xml:space="preserve">. d) </w:t>
      </w:r>
      <w:proofErr w:type="spellStart"/>
      <w:r w:rsidRPr="005025CD">
        <w:t>až</w:t>
      </w:r>
      <w:proofErr w:type="spellEnd"/>
      <w:r w:rsidRPr="005025CD">
        <w:t xml:space="preserve"> f) CRR v </w:t>
      </w:r>
      <w:proofErr w:type="spellStart"/>
      <w:r w:rsidRPr="005025CD">
        <w:t>krycím</w:t>
      </w:r>
      <w:proofErr w:type="spellEnd"/>
      <w:r w:rsidRPr="005025CD">
        <w:t xml:space="preserve"> </w:t>
      </w:r>
      <w:proofErr w:type="spellStart"/>
      <w:r w:rsidRPr="005025CD">
        <w:t>portfoliu</w:t>
      </w:r>
      <w:proofErr w:type="spellEnd"/>
      <w:r w:rsidRPr="005025CD">
        <w:t xml:space="preserve"> </w:t>
      </w:r>
      <w:proofErr w:type="spellStart"/>
      <w:r w:rsidRPr="005025CD">
        <w:t>musí</w:t>
      </w:r>
      <w:proofErr w:type="spellEnd"/>
      <w:r w:rsidRPr="005025CD">
        <w:t xml:space="preserve"> </w:t>
      </w:r>
      <w:proofErr w:type="spellStart"/>
      <w:r w:rsidRPr="005025CD">
        <w:t>být</w:t>
      </w:r>
      <w:proofErr w:type="spellEnd"/>
      <w:r w:rsidRPr="005025CD">
        <w:t xml:space="preserve"> </w:t>
      </w:r>
      <w:proofErr w:type="spellStart"/>
      <w:r w:rsidRPr="005025CD">
        <w:t>rovna</w:t>
      </w:r>
      <w:proofErr w:type="spellEnd"/>
      <w:r w:rsidRPr="005025CD">
        <w:t xml:space="preserve"> </w:t>
      </w:r>
      <w:proofErr w:type="spellStart"/>
      <w:r w:rsidRPr="005025CD">
        <w:t>alespoň</w:t>
      </w:r>
      <w:proofErr w:type="spellEnd"/>
      <w:r w:rsidRPr="005025CD">
        <w:t xml:space="preserve"> 85 % </w:t>
      </w:r>
      <w:proofErr w:type="spellStart"/>
      <w:r w:rsidRPr="005025CD">
        <w:t>souhrnné</w:t>
      </w:r>
      <w:proofErr w:type="spellEnd"/>
      <w:r w:rsidRPr="005025CD">
        <w:t xml:space="preserve"> </w:t>
      </w:r>
      <w:proofErr w:type="spellStart"/>
      <w:r w:rsidRPr="005025CD">
        <w:t>hodnoty</w:t>
      </w:r>
      <w:proofErr w:type="spellEnd"/>
      <w:r w:rsidRPr="005025CD">
        <w:t xml:space="preserve"> </w:t>
      </w:r>
      <w:proofErr w:type="spellStart"/>
      <w:r w:rsidRPr="005025CD">
        <w:t>všech</w:t>
      </w:r>
      <w:proofErr w:type="spellEnd"/>
      <w:r w:rsidRPr="005025CD">
        <w:t xml:space="preserve"> </w:t>
      </w:r>
      <w:proofErr w:type="spellStart"/>
      <w:r w:rsidRPr="005025CD">
        <w:t>dluhů</w:t>
      </w:r>
      <w:proofErr w:type="spellEnd"/>
      <w:r w:rsidRPr="005025CD">
        <w:t xml:space="preserve"> (</w:t>
      </w:r>
      <w:proofErr w:type="spellStart"/>
      <w:r w:rsidRPr="005025CD">
        <w:t>včetně</w:t>
      </w:r>
      <w:proofErr w:type="spellEnd"/>
      <w:r w:rsidRPr="005025CD">
        <w:t xml:space="preserve"> </w:t>
      </w:r>
      <w:proofErr w:type="spellStart"/>
      <w:r w:rsidRPr="005025CD">
        <w:t>Pohledávek</w:t>
      </w:r>
      <w:proofErr w:type="spellEnd"/>
      <w:r w:rsidRPr="005025CD">
        <w:t xml:space="preserve"> z </w:t>
      </w:r>
      <w:proofErr w:type="spellStart"/>
      <w:r w:rsidRPr="005025CD">
        <w:t>krytých</w:t>
      </w:r>
      <w:proofErr w:type="spellEnd"/>
      <w:r w:rsidRPr="005025CD">
        <w:t xml:space="preserve"> </w:t>
      </w:r>
      <w:proofErr w:type="spellStart"/>
      <w:r w:rsidRPr="005025CD">
        <w:t>dluhopisů</w:t>
      </w:r>
      <w:proofErr w:type="spellEnd"/>
      <w:r w:rsidRPr="005025CD">
        <w:t>), k </w:t>
      </w:r>
      <w:proofErr w:type="spellStart"/>
      <w:r w:rsidRPr="005025CD">
        <w:t>jejichž</w:t>
      </w:r>
      <w:proofErr w:type="spellEnd"/>
      <w:r w:rsidRPr="005025CD">
        <w:t xml:space="preserve"> </w:t>
      </w:r>
      <w:proofErr w:type="spellStart"/>
      <w:r w:rsidRPr="005025CD">
        <w:t>krytí</w:t>
      </w:r>
      <w:proofErr w:type="spellEnd"/>
      <w:r w:rsidRPr="005025CD">
        <w:t xml:space="preserve"> </w:t>
      </w:r>
      <w:proofErr w:type="spellStart"/>
      <w:r w:rsidRPr="005025CD">
        <w:t>toto</w:t>
      </w:r>
      <w:proofErr w:type="spellEnd"/>
      <w:r w:rsidRPr="005025CD">
        <w:t xml:space="preserve"> </w:t>
      </w:r>
      <w:proofErr w:type="spellStart"/>
      <w:r w:rsidRPr="005025CD">
        <w:t>krycí</w:t>
      </w:r>
      <w:proofErr w:type="spellEnd"/>
      <w:r w:rsidRPr="005025CD">
        <w:t xml:space="preserve"> portfolio </w:t>
      </w:r>
      <w:proofErr w:type="spellStart"/>
      <w:r w:rsidRPr="005025CD">
        <w:t>slouží</w:t>
      </w:r>
      <w:proofErr w:type="spellEnd"/>
      <w:r w:rsidRPr="005025CD">
        <w:t xml:space="preserve"> (</w:t>
      </w:r>
      <w:proofErr w:type="spellStart"/>
      <w:r w:rsidRPr="005025CD">
        <w:rPr>
          <w:b/>
        </w:rPr>
        <w:t>Zákonný</w:t>
      </w:r>
      <w:proofErr w:type="spellEnd"/>
      <w:r w:rsidRPr="005025CD">
        <w:rPr>
          <w:b/>
        </w:rPr>
        <w:t xml:space="preserve"> 85 % limit</w:t>
      </w:r>
      <w:r w:rsidRPr="005025CD">
        <w:rPr>
          <w:b/>
        </w:rPr>
        <w:fldChar w:fldCharType="begin"/>
      </w:r>
      <w:r w:rsidRPr="005025CD">
        <w:instrText xml:space="preserve"> XE "Zákonný 85 % limit" </w:instrText>
      </w:r>
      <w:r w:rsidRPr="005025CD">
        <w:rPr>
          <w:b/>
        </w:rPr>
        <w:fldChar w:fldCharType="end"/>
      </w:r>
      <w:r w:rsidRPr="005025CD">
        <w:t xml:space="preserve">). </w:t>
      </w:r>
      <w:proofErr w:type="spellStart"/>
      <w:r w:rsidRPr="005025CD">
        <w:t>Zároveň</w:t>
      </w:r>
      <w:proofErr w:type="spellEnd"/>
      <w:r w:rsidRPr="005025CD">
        <w:t xml:space="preserve"> </w:t>
      </w:r>
      <w:proofErr w:type="spellStart"/>
      <w:r w:rsidRPr="005025CD">
        <w:t>platí</w:t>
      </w:r>
      <w:proofErr w:type="spellEnd"/>
      <w:r w:rsidRPr="005025CD">
        <w:t xml:space="preserve">, </w:t>
      </w:r>
      <w:proofErr w:type="spellStart"/>
      <w:r w:rsidRPr="005025CD">
        <w:t>že</w:t>
      </w:r>
      <w:proofErr w:type="spellEnd"/>
      <w:r w:rsidRPr="005025CD">
        <w:t xml:space="preserve"> </w:t>
      </w:r>
      <w:proofErr w:type="spellStart"/>
      <w:r w:rsidRPr="005025CD">
        <w:t>souhrnná</w:t>
      </w:r>
      <w:proofErr w:type="spellEnd"/>
      <w:r w:rsidRPr="005025CD">
        <w:t xml:space="preserve"> </w:t>
      </w:r>
      <w:proofErr w:type="spellStart"/>
      <w:r w:rsidRPr="005025CD">
        <w:t>hodnota</w:t>
      </w:r>
      <w:proofErr w:type="spellEnd"/>
      <w:r w:rsidRPr="005025CD">
        <w:t xml:space="preserve"> </w:t>
      </w:r>
      <w:proofErr w:type="spellStart"/>
      <w:r w:rsidRPr="005025CD">
        <w:t>všech</w:t>
      </w:r>
      <w:proofErr w:type="spellEnd"/>
      <w:r w:rsidRPr="005025CD">
        <w:t xml:space="preserve"> </w:t>
      </w:r>
      <w:proofErr w:type="spellStart"/>
      <w:r w:rsidRPr="005025CD">
        <w:t>krycích</w:t>
      </w:r>
      <w:proofErr w:type="spellEnd"/>
      <w:r w:rsidRPr="005025CD">
        <w:t xml:space="preserve"> </w:t>
      </w:r>
      <w:proofErr w:type="spellStart"/>
      <w:r w:rsidRPr="005025CD">
        <w:t>aktiv</w:t>
      </w:r>
      <w:proofErr w:type="spellEnd"/>
      <w:r w:rsidRPr="005025CD">
        <w:t xml:space="preserve"> v </w:t>
      </w:r>
      <w:proofErr w:type="spellStart"/>
      <w:r w:rsidRPr="005025CD">
        <w:t>krycím</w:t>
      </w:r>
      <w:proofErr w:type="spellEnd"/>
      <w:r w:rsidRPr="005025CD">
        <w:t xml:space="preserve"> </w:t>
      </w:r>
      <w:proofErr w:type="spellStart"/>
      <w:r w:rsidRPr="005025CD">
        <w:t>portfoliu</w:t>
      </w:r>
      <w:proofErr w:type="spellEnd"/>
      <w:r w:rsidRPr="005025CD">
        <w:t xml:space="preserve"> (</w:t>
      </w:r>
      <w:proofErr w:type="spellStart"/>
      <w:r w:rsidRPr="005025CD">
        <w:t>včetně</w:t>
      </w:r>
      <w:proofErr w:type="spellEnd"/>
      <w:r w:rsidRPr="005025CD">
        <w:t xml:space="preserve"> </w:t>
      </w:r>
      <w:proofErr w:type="spellStart"/>
      <w:r w:rsidRPr="005025CD">
        <w:t>krycích</w:t>
      </w:r>
      <w:proofErr w:type="spellEnd"/>
      <w:r w:rsidRPr="005025CD">
        <w:t xml:space="preserve"> </w:t>
      </w:r>
      <w:proofErr w:type="spellStart"/>
      <w:r w:rsidRPr="005025CD">
        <w:t>aktiv</w:t>
      </w:r>
      <w:proofErr w:type="spellEnd"/>
      <w:r w:rsidRPr="005025CD">
        <w:t xml:space="preserve"> </w:t>
      </w:r>
      <w:proofErr w:type="spellStart"/>
      <w:r w:rsidRPr="005025CD">
        <w:t>dle</w:t>
      </w:r>
      <w:proofErr w:type="spellEnd"/>
      <w:r w:rsidRPr="005025CD">
        <w:t xml:space="preserve"> </w:t>
      </w:r>
      <w:proofErr w:type="spellStart"/>
      <w:r w:rsidRPr="005025CD">
        <w:t>Zákonného</w:t>
      </w:r>
      <w:proofErr w:type="spellEnd"/>
      <w:r w:rsidRPr="005025CD">
        <w:t xml:space="preserve"> 85 % </w:t>
      </w:r>
      <w:proofErr w:type="spellStart"/>
      <w:r w:rsidRPr="005025CD">
        <w:t>limitu</w:t>
      </w:r>
      <w:proofErr w:type="spellEnd"/>
      <w:r w:rsidRPr="005025CD">
        <w:t xml:space="preserve">) </w:t>
      </w:r>
      <w:proofErr w:type="spellStart"/>
      <w:r w:rsidRPr="005025CD">
        <w:t>musí</w:t>
      </w:r>
      <w:proofErr w:type="spellEnd"/>
      <w:r w:rsidRPr="005025CD">
        <w:t xml:space="preserve"> </w:t>
      </w:r>
      <w:proofErr w:type="spellStart"/>
      <w:r w:rsidRPr="005025CD">
        <w:t>být</w:t>
      </w:r>
      <w:proofErr w:type="spellEnd"/>
      <w:r w:rsidRPr="005025CD">
        <w:t xml:space="preserve"> </w:t>
      </w:r>
      <w:proofErr w:type="spellStart"/>
      <w:r w:rsidRPr="005025CD">
        <w:t>rovna</w:t>
      </w:r>
      <w:proofErr w:type="spellEnd"/>
      <w:r w:rsidRPr="005025CD">
        <w:t xml:space="preserve"> </w:t>
      </w:r>
      <w:proofErr w:type="spellStart"/>
      <w:r w:rsidRPr="005025CD">
        <w:t>alespoň</w:t>
      </w:r>
      <w:proofErr w:type="spellEnd"/>
      <w:r w:rsidRPr="005025CD">
        <w:t xml:space="preserve"> 102 % </w:t>
      </w:r>
      <w:proofErr w:type="spellStart"/>
      <w:r w:rsidRPr="005025CD">
        <w:t>souhrnné</w:t>
      </w:r>
      <w:proofErr w:type="spellEnd"/>
      <w:r w:rsidRPr="005025CD">
        <w:t xml:space="preserve"> </w:t>
      </w:r>
      <w:proofErr w:type="spellStart"/>
      <w:r w:rsidRPr="005025CD">
        <w:t>hodnoty</w:t>
      </w:r>
      <w:proofErr w:type="spellEnd"/>
      <w:r w:rsidRPr="005025CD">
        <w:t xml:space="preserve"> </w:t>
      </w:r>
      <w:proofErr w:type="spellStart"/>
      <w:r w:rsidRPr="005025CD">
        <w:t>všech</w:t>
      </w:r>
      <w:proofErr w:type="spellEnd"/>
      <w:r w:rsidRPr="005025CD">
        <w:t xml:space="preserve"> </w:t>
      </w:r>
      <w:proofErr w:type="spellStart"/>
      <w:r w:rsidRPr="005025CD">
        <w:t>dluhů</w:t>
      </w:r>
      <w:proofErr w:type="spellEnd"/>
      <w:r w:rsidRPr="005025CD">
        <w:t xml:space="preserve"> (</w:t>
      </w:r>
      <w:proofErr w:type="spellStart"/>
      <w:r w:rsidRPr="005025CD">
        <w:t>včetně</w:t>
      </w:r>
      <w:proofErr w:type="spellEnd"/>
      <w:r w:rsidRPr="005025CD">
        <w:t xml:space="preserve"> </w:t>
      </w:r>
      <w:proofErr w:type="spellStart"/>
      <w:r w:rsidRPr="005025CD">
        <w:t>Pohledávek</w:t>
      </w:r>
      <w:proofErr w:type="spellEnd"/>
      <w:r w:rsidRPr="005025CD">
        <w:t xml:space="preserve"> z </w:t>
      </w:r>
      <w:proofErr w:type="spellStart"/>
      <w:r w:rsidRPr="005025CD">
        <w:t>krytých</w:t>
      </w:r>
      <w:proofErr w:type="spellEnd"/>
      <w:r w:rsidRPr="005025CD">
        <w:t xml:space="preserve"> </w:t>
      </w:r>
      <w:proofErr w:type="spellStart"/>
      <w:r w:rsidRPr="005025CD">
        <w:t>dluhopisů</w:t>
      </w:r>
      <w:proofErr w:type="spellEnd"/>
      <w:r w:rsidRPr="005025CD">
        <w:t>), k </w:t>
      </w:r>
      <w:proofErr w:type="spellStart"/>
      <w:r w:rsidRPr="005025CD">
        <w:t>jejichž</w:t>
      </w:r>
      <w:proofErr w:type="spellEnd"/>
      <w:r w:rsidRPr="005025CD">
        <w:t xml:space="preserve"> </w:t>
      </w:r>
      <w:proofErr w:type="spellStart"/>
      <w:r w:rsidRPr="005025CD">
        <w:t>krytí</w:t>
      </w:r>
      <w:proofErr w:type="spellEnd"/>
      <w:r w:rsidRPr="005025CD">
        <w:t xml:space="preserve"> </w:t>
      </w:r>
      <w:proofErr w:type="spellStart"/>
      <w:r w:rsidRPr="005025CD">
        <w:t>toto</w:t>
      </w:r>
      <w:proofErr w:type="spellEnd"/>
      <w:r w:rsidRPr="005025CD">
        <w:t xml:space="preserve"> </w:t>
      </w:r>
      <w:proofErr w:type="spellStart"/>
      <w:r w:rsidRPr="005025CD">
        <w:t>krycí</w:t>
      </w:r>
      <w:proofErr w:type="spellEnd"/>
      <w:r w:rsidRPr="005025CD">
        <w:t xml:space="preserve"> portfolio </w:t>
      </w:r>
      <w:proofErr w:type="spellStart"/>
      <w:r w:rsidRPr="005025CD">
        <w:t>slouží</w:t>
      </w:r>
      <w:proofErr w:type="spellEnd"/>
      <w:r w:rsidRPr="005025CD">
        <w:t xml:space="preserve"> (</w:t>
      </w:r>
      <w:proofErr w:type="spellStart"/>
      <w:r w:rsidRPr="005025CD">
        <w:rPr>
          <w:b/>
        </w:rPr>
        <w:t>Zákonný</w:t>
      </w:r>
      <w:proofErr w:type="spellEnd"/>
      <w:r w:rsidRPr="005025CD">
        <w:rPr>
          <w:b/>
        </w:rPr>
        <w:t xml:space="preserve"> limit </w:t>
      </w:r>
      <w:proofErr w:type="spellStart"/>
      <w:r w:rsidRPr="005025CD">
        <w:rPr>
          <w:b/>
        </w:rPr>
        <w:t>přezajištění</w:t>
      </w:r>
      <w:proofErr w:type="spellEnd"/>
      <w:r w:rsidRPr="005025CD">
        <w:rPr>
          <w:b/>
        </w:rPr>
        <w:fldChar w:fldCharType="begin"/>
      </w:r>
      <w:r w:rsidRPr="005025CD">
        <w:instrText xml:space="preserve"> XE "Zákonný limit přezajištění"</w:instrText>
      </w:r>
      <w:r w:rsidRPr="005025CD">
        <w:rPr>
          <w:b/>
        </w:rPr>
        <w:fldChar w:fldCharType="end"/>
      </w:r>
      <w:r w:rsidRPr="005025CD">
        <w:t xml:space="preserve">). </w:t>
      </w:r>
      <w:proofErr w:type="spellStart"/>
      <w:r w:rsidRPr="005025CD">
        <w:t>Jmenovitá</w:t>
      </w:r>
      <w:proofErr w:type="spellEnd"/>
      <w:r w:rsidRPr="005025CD">
        <w:t xml:space="preserve"> </w:t>
      </w:r>
      <w:proofErr w:type="spellStart"/>
      <w:r w:rsidRPr="005025CD">
        <w:t>hodnota</w:t>
      </w:r>
      <w:proofErr w:type="spellEnd"/>
      <w:r w:rsidRPr="005025CD">
        <w:t xml:space="preserve"> </w:t>
      </w:r>
      <w:proofErr w:type="spellStart"/>
      <w:r w:rsidRPr="005025CD">
        <w:t>pohledávky</w:t>
      </w:r>
      <w:proofErr w:type="spellEnd"/>
      <w:r w:rsidRPr="005025CD">
        <w:t xml:space="preserve"> z </w:t>
      </w:r>
      <w:proofErr w:type="spellStart"/>
      <w:r w:rsidRPr="005025CD">
        <w:t>hypotečního</w:t>
      </w:r>
      <w:proofErr w:type="spellEnd"/>
      <w:r w:rsidRPr="005025CD">
        <w:t xml:space="preserve"> </w:t>
      </w:r>
      <w:proofErr w:type="spellStart"/>
      <w:r w:rsidRPr="005025CD">
        <w:t>úvěru</w:t>
      </w:r>
      <w:proofErr w:type="spellEnd"/>
      <w:r w:rsidRPr="005025CD">
        <w:t xml:space="preserve"> </w:t>
      </w:r>
      <w:proofErr w:type="spellStart"/>
      <w:r w:rsidRPr="005025CD">
        <w:t>zahrnuté</w:t>
      </w:r>
      <w:proofErr w:type="spellEnd"/>
      <w:r w:rsidRPr="005025CD">
        <w:t xml:space="preserve"> v </w:t>
      </w:r>
      <w:proofErr w:type="spellStart"/>
      <w:r w:rsidRPr="005025CD">
        <w:t>krycím</w:t>
      </w:r>
      <w:proofErr w:type="spellEnd"/>
      <w:r w:rsidRPr="005025CD">
        <w:t xml:space="preserve"> </w:t>
      </w:r>
      <w:proofErr w:type="spellStart"/>
      <w:r w:rsidRPr="005025CD">
        <w:t>portfoliu</w:t>
      </w:r>
      <w:proofErr w:type="spellEnd"/>
      <w:r w:rsidRPr="005025CD">
        <w:t xml:space="preserve"> </w:t>
      </w:r>
      <w:proofErr w:type="spellStart"/>
      <w:r w:rsidRPr="005025CD">
        <w:t>nesmí</w:t>
      </w:r>
      <w:proofErr w:type="spellEnd"/>
      <w:r w:rsidRPr="005025CD">
        <w:t xml:space="preserve"> </w:t>
      </w:r>
      <w:proofErr w:type="spellStart"/>
      <w:r w:rsidRPr="005025CD">
        <w:t>přesáhnout</w:t>
      </w:r>
      <w:proofErr w:type="spellEnd"/>
      <w:r w:rsidRPr="005025CD">
        <w:t xml:space="preserve"> 100 % </w:t>
      </w:r>
      <w:proofErr w:type="spellStart"/>
      <w:r w:rsidRPr="005025CD">
        <w:t>zástavní</w:t>
      </w:r>
      <w:proofErr w:type="spellEnd"/>
      <w:r w:rsidRPr="005025CD">
        <w:t xml:space="preserve"> </w:t>
      </w:r>
      <w:proofErr w:type="spellStart"/>
      <w:r w:rsidRPr="005025CD">
        <w:t>hodnoty</w:t>
      </w:r>
      <w:proofErr w:type="spellEnd"/>
      <w:r w:rsidRPr="005025CD">
        <w:t xml:space="preserve"> </w:t>
      </w:r>
      <w:proofErr w:type="spellStart"/>
      <w:r w:rsidRPr="005025CD">
        <w:t>zastavené</w:t>
      </w:r>
      <w:proofErr w:type="spellEnd"/>
      <w:r w:rsidRPr="005025CD">
        <w:t xml:space="preserve"> </w:t>
      </w:r>
      <w:proofErr w:type="spellStart"/>
      <w:r w:rsidRPr="005025CD">
        <w:t>nemovité</w:t>
      </w:r>
      <w:proofErr w:type="spellEnd"/>
      <w:r w:rsidRPr="005025CD">
        <w:t xml:space="preserve"> </w:t>
      </w:r>
      <w:proofErr w:type="spellStart"/>
      <w:r w:rsidRPr="005025CD">
        <w:t>věci</w:t>
      </w:r>
      <w:proofErr w:type="spellEnd"/>
      <w:r w:rsidRPr="005025CD">
        <w:t xml:space="preserve">, </w:t>
      </w:r>
      <w:proofErr w:type="spellStart"/>
      <w:r w:rsidRPr="005025CD">
        <w:t>která</w:t>
      </w:r>
      <w:proofErr w:type="spellEnd"/>
      <w:r w:rsidRPr="005025CD">
        <w:t xml:space="preserve"> </w:t>
      </w:r>
      <w:proofErr w:type="spellStart"/>
      <w:r w:rsidRPr="005025CD">
        <w:t>slouží</w:t>
      </w:r>
      <w:proofErr w:type="spellEnd"/>
      <w:r w:rsidRPr="005025CD">
        <w:t xml:space="preserve"> k </w:t>
      </w:r>
      <w:proofErr w:type="spellStart"/>
      <w:r w:rsidRPr="005025CD">
        <w:t>zajištění</w:t>
      </w:r>
      <w:proofErr w:type="spellEnd"/>
      <w:r w:rsidRPr="005025CD">
        <w:t xml:space="preserve"> </w:t>
      </w:r>
      <w:proofErr w:type="spellStart"/>
      <w:r w:rsidRPr="005025CD">
        <w:t>této</w:t>
      </w:r>
      <w:proofErr w:type="spellEnd"/>
      <w:r w:rsidRPr="005025CD">
        <w:t xml:space="preserve"> </w:t>
      </w:r>
      <w:proofErr w:type="spellStart"/>
      <w:r w:rsidRPr="005025CD">
        <w:t>pohledávky</w:t>
      </w:r>
      <w:proofErr w:type="spellEnd"/>
      <w:r w:rsidRPr="005025CD">
        <w:t xml:space="preserve">. </w:t>
      </w:r>
      <w:proofErr w:type="spellStart"/>
      <w:r w:rsidRPr="005025CD">
        <w:t>Krycí</w:t>
      </w:r>
      <w:proofErr w:type="spellEnd"/>
      <w:r w:rsidRPr="005025CD">
        <w:t xml:space="preserve"> portfolio, </w:t>
      </w:r>
      <w:proofErr w:type="spellStart"/>
      <w:r w:rsidRPr="005025CD">
        <w:t>jehož</w:t>
      </w:r>
      <w:proofErr w:type="spellEnd"/>
      <w:r w:rsidRPr="005025CD">
        <w:t xml:space="preserve"> </w:t>
      </w:r>
      <w:proofErr w:type="spellStart"/>
      <w:r w:rsidRPr="005025CD">
        <w:t>součástí</w:t>
      </w:r>
      <w:proofErr w:type="spellEnd"/>
      <w:r w:rsidRPr="005025CD">
        <w:t xml:space="preserve"> </w:t>
      </w:r>
      <w:proofErr w:type="spellStart"/>
      <w:r w:rsidRPr="005025CD">
        <w:t>jsou</w:t>
      </w:r>
      <w:proofErr w:type="spellEnd"/>
      <w:r w:rsidRPr="005025CD">
        <w:t xml:space="preserve"> </w:t>
      </w:r>
      <w:proofErr w:type="spellStart"/>
      <w:r w:rsidRPr="005025CD">
        <w:t>krycí</w:t>
      </w:r>
      <w:proofErr w:type="spellEnd"/>
      <w:r w:rsidRPr="005025CD">
        <w:t xml:space="preserve"> </w:t>
      </w:r>
      <w:proofErr w:type="spellStart"/>
      <w:r w:rsidRPr="005025CD">
        <w:t>aktiva</w:t>
      </w:r>
      <w:proofErr w:type="spellEnd"/>
      <w:r w:rsidRPr="005025CD">
        <w:t xml:space="preserve">, </w:t>
      </w:r>
      <w:proofErr w:type="spellStart"/>
      <w:r w:rsidRPr="005025CD">
        <w:t>včetně</w:t>
      </w:r>
      <w:proofErr w:type="spellEnd"/>
      <w:r w:rsidRPr="005025CD">
        <w:t xml:space="preserve"> </w:t>
      </w:r>
      <w:proofErr w:type="spellStart"/>
      <w:r w:rsidRPr="005025CD">
        <w:t>pohledávek</w:t>
      </w:r>
      <w:proofErr w:type="spellEnd"/>
      <w:r w:rsidRPr="005025CD">
        <w:t xml:space="preserve"> z </w:t>
      </w:r>
      <w:proofErr w:type="spellStart"/>
      <w:r w:rsidRPr="005025CD">
        <w:t>hypotečních</w:t>
      </w:r>
      <w:proofErr w:type="spellEnd"/>
      <w:r w:rsidRPr="005025CD">
        <w:t xml:space="preserve"> </w:t>
      </w:r>
      <w:proofErr w:type="spellStart"/>
      <w:r w:rsidRPr="005025CD">
        <w:t>úvěrů</w:t>
      </w:r>
      <w:proofErr w:type="spellEnd"/>
      <w:r w:rsidRPr="005025CD">
        <w:t xml:space="preserve"> </w:t>
      </w:r>
      <w:proofErr w:type="spellStart"/>
      <w:r w:rsidRPr="005025CD">
        <w:t>uvedených</w:t>
      </w:r>
      <w:proofErr w:type="spellEnd"/>
      <w:r w:rsidRPr="005025CD">
        <w:t xml:space="preserve"> </w:t>
      </w:r>
      <w:proofErr w:type="spellStart"/>
      <w:r w:rsidRPr="005025CD">
        <w:t>výše</w:t>
      </w:r>
      <w:proofErr w:type="spellEnd"/>
      <w:r w:rsidRPr="005025CD">
        <w:t xml:space="preserve">, </w:t>
      </w:r>
      <w:proofErr w:type="spellStart"/>
      <w:r w:rsidRPr="005025CD">
        <w:t>slouží</w:t>
      </w:r>
      <w:proofErr w:type="spellEnd"/>
      <w:r w:rsidRPr="005025CD">
        <w:t xml:space="preserve"> </w:t>
      </w:r>
      <w:proofErr w:type="spellStart"/>
      <w:r w:rsidRPr="005025CD">
        <w:t>přednostně</w:t>
      </w:r>
      <w:proofErr w:type="spellEnd"/>
      <w:r w:rsidRPr="005025CD">
        <w:t xml:space="preserve"> k </w:t>
      </w:r>
      <w:proofErr w:type="spellStart"/>
      <w:r w:rsidRPr="005025CD">
        <w:t>uspokojení</w:t>
      </w:r>
      <w:proofErr w:type="spellEnd"/>
      <w:r w:rsidRPr="005025CD">
        <w:t xml:space="preserve"> </w:t>
      </w:r>
      <w:proofErr w:type="spellStart"/>
      <w:r w:rsidRPr="005025CD">
        <w:t>Pohledávek</w:t>
      </w:r>
      <w:proofErr w:type="spellEnd"/>
      <w:r w:rsidRPr="005025CD">
        <w:t xml:space="preserve"> z </w:t>
      </w:r>
      <w:proofErr w:type="spellStart"/>
      <w:r w:rsidRPr="005025CD">
        <w:t>krytých</w:t>
      </w:r>
      <w:proofErr w:type="spellEnd"/>
      <w:r w:rsidRPr="005025CD">
        <w:t xml:space="preserve"> </w:t>
      </w:r>
      <w:proofErr w:type="spellStart"/>
      <w:r w:rsidRPr="005025CD">
        <w:t>dluhopisů</w:t>
      </w:r>
      <w:proofErr w:type="spellEnd"/>
      <w:r w:rsidRPr="005025CD">
        <w:t xml:space="preserve"> a </w:t>
      </w:r>
      <w:proofErr w:type="spellStart"/>
      <w:r w:rsidRPr="005025CD">
        <w:t>případně</w:t>
      </w:r>
      <w:proofErr w:type="spellEnd"/>
      <w:r w:rsidRPr="005025CD">
        <w:t xml:space="preserve"> </w:t>
      </w:r>
      <w:proofErr w:type="spellStart"/>
      <w:r w:rsidRPr="005025CD">
        <w:t>dalších</w:t>
      </w:r>
      <w:proofErr w:type="spellEnd"/>
      <w:r w:rsidRPr="005025CD">
        <w:t xml:space="preserve"> </w:t>
      </w:r>
      <w:proofErr w:type="spellStart"/>
      <w:r w:rsidRPr="005025CD">
        <w:t>dluhů</w:t>
      </w:r>
      <w:proofErr w:type="spellEnd"/>
      <w:r w:rsidRPr="005025CD">
        <w:t xml:space="preserve">, </w:t>
      </w:r>
      <w:proofErr w:type="spellStart"/>
      <w:r w:rsidRPr="005025CD">
        <w:t>které</w:t>
      </w:r>
      <w:proofErr w:type="spellEnd"/>
      <w:r w:rsidRPr="005025CD">
        <w:t xml:space="preserve"> </w:t>
      </w:r>
      <w:proofErr w:type="spellStart"/>
      <w:r w:rsidRPr="005025CD">
        <w:t>náleží</w:t>
      </w:r>
      <w:proofErr w:type="spellEnd"/>
      <w:r w:rsidRPr="005025CD">
        <w:t xml:space="preserve"> do </w:t>
      </w:r>
      <w:proofErr w:type="spellStart"/>
      <w:r w:rsidRPr="005025CD">
        <w:t>téhož</w:t>
      </w:r>
      <w:proofErr w:type="spellEnd"/>
      <w:r w:rsidRPr="005025CD">
        <w:t xml:space="preserve"> </w:t>
      </w:r>
      <w:proofErr w:type="spellStart"/>
      <w:r w:rsidRPr="005025CD">
        <w:t>krytého</w:t>
      </w:r>
      <w:proofErr w:type="spellEnd"/>
      <w:r w:rsidRPr="005025CD">
        <w:t xml:space="preserve"> </w:t>
      </w:r>
      <w:proofErr w:type="spellStart"/>
      <w:r w:rsidRPr="005025CD">
        <w:t>bloku</w:t>
      </w:r>
      <w:proofErr w:type="spellEnd"/>
      <w:r w:rsidRPr="005025CD">
        <w:t xml:space="preserve">. </w:t>
      </w:r>
      <w:proofErr w:type="spellStart"/>
      <w:r w:rsidRPr="005025CD">
        <w:t>Emitent</w:t>
      </w:r>
      <w:proofErr w:type="spellEnd"/>
      <w:r w:rsidRPr="005025CD">
        <w:t xml:space="preserve"> je </w:t>
      </w:r>
      <w:proofErr w:type="spellStart"/>
      <w:r w:rsidRPr="005025CD">
        <w:t>povinen</w:t>
      </w:r>
      <w:proofErr w:type="spellEnd"/>
      <w:r w:rsidRPr="005025CD">
        <w:t xml:space="preserve"> </w:t>
      </w:r>
      <w:proofErr w:type="spellStart"/>
      <w:r w:rsidRPr="005025CD">
        <w:t>zajistit</w:t>
      </w:r>
      <w:proofErr w:type="spellEnd"/>
      <w:r w:rsidRPr="005025CD">
        <w:t xml:space="preserve"> </w:t>
      </w:r>
      <w:proofErr w:type="spellStart"/>
      <w:r w:rsidRPr="005025CD">
        <w:t>plnění</w:t>
      </w:r>
      <w:proofErr w:type="spellEnd"/>
      <w:r w:rsidRPr="005025CD">
        <w:t xml:space="preserve"> </w:t>
      </w:r>
      <w:proofErr w:type="spellStart"/>
      <w:r w:rsidRPr="005025CD">
        <w:t>Zákonného</w:t>
      </w:r>
      <w:proofErr w:type="spellEnd"/>
      <w:r w:rsidRPr="005025CD">
        <w:t xml:space="preserve"> 85 % </w:t>
      </w:r>
      <w:proofErr w:type="spellStart"/>
      <w:r w:rsidRPr="005025CD">
        <w:t>limitu</w:t>
      </w:r>
      <w:proofErr w:type="spellEnd"/>
      <w:r w:rsidRPr="005025CD">
        <w:t xml:space="preserve"> a </w:t>
      </w:r>
      <w:proofErr w:type="spellStart"/>
      <w:r w:rsidRPr="005025CD">
        <w:t>Zákonného</w:t>
      </w:r>
      <w:proofErr w:type="spellEnd"/>
      <w:r w:rsidRPr="005025CD">
        <w:t xml:space="preserve"> </w:t>
      </w:r>
      <w:proofErr w:type="spellStart"/>
      <w:r w:rsidRPr="005025CD">
        <w:t>limitu</w:t>
      </w:r>
      <w:proofErr w:type="spellEnd"/>
      <w:r w:rsidRPr="005025CD">
        <w:t xml:space="preserve"> </w:t>
      </w:r>
      <w:proofErr w:type="spellStart"/>
      <w:r w:rsidRPr="005025CD">
        <w:t>přezajištění</w:t>
      </w:r>
      <w:proofErr w:type="spellEnd"/>
      <w:r w:rsidRPr="005025CD">
        <w:t xml:space="preserve"> a </w:t>
      </w:r>
      <w:proofErr w:type="spellStart"/>
      <w:r w:rsidRPr="005025CD">
        <w:t>zároveň</w:t>
      </w:r>
      <w:proofErr w:type="spellEnd"/>
      <w:r w:rsidRPr="005025CD">
        <w:t xml:space="preserve">, </w:t>
      </w:r>
      <w:proofErr w:type="spellStart"/>
      <w:r w:rsidRPr="005025CD">
        <w:t>alespoň</w:t>
      </w:r>
      <w:proofErr w:type="spellEnd"/>
      <w:r w:rsidRPr="005025CD">
        <w:t xml:space="preserve"> </w:t>
      </w:r>
      <w:proofErr w:type="spellStart"/>
      <w:r w:rsidRPr="005025CD">
        <w:t>jednou</w:t>
      </w:r>
      <w:proofErr w:type="spellEnd"/>
      <w:r w:rsidRPr="005025CD">
        <w:t xml:space="preserve"> </w:t>
      </w:r>
      <w:proofErr w:type="spellStart"/>
      <w:r w:rsidRPr="005025CD">
        <w:t>za</w:t>
      </w:r>
      <w:proofErr w:type="spellEnd"/>
      <w:r w:rsidRPr="005025CD">
        <w:t xml:space="preserve"> </w:t>
      </w:r>
      <w:proofErr w:type="spellStart"/>
      <w:r w:rsidRPr="005025CD">
        <w:t>kalendářní</w:t>
      </w:r>
      <w:proofErr w:type="spellEnd"/>
      <w:r w:rsidRPr="005025CD">
        <w:t xml:space="preserve"> </w:t>
      </w:r>
      <w:proofErr w:type="spellStart"/>
      <w:r w:rsidRPr="005025CD">
        <w:t>čtvrtletí</w:t>
      </w:r>
      <w:proofErr w:type="spellEnd"/>
      <w:r w:rsidRPr="005025CD">
        <w:t xml:space="preserve">, </w:t>
      </w:r>
      <w:proofErr w:type="spellStart"/>
      <w:r w:rsidRPr="005025CD">
        <w:t>informovat</w:t>
      </w:r>
      <w:proofErr w:type="spellEnd"/>
      <w:r w:rsidRPr="005025CD">
        <w:t xml:space="preserve"> </w:t>
      </w:r>
      <w:proofErr w:type="spellStart"/>
      <w:r w:rsidRPr="005025CD">
        <w:t>Českou</w:t>
      </w:r>
      <w:proofErr w:type="spellEnd"/>
      <w:r w:rsidRPr="005025CD">
        <w:t xml:space="preserve"> </w:t>
      </w:r>
      <w:proofErr w:type="spellStart"/>
      <w:r w:rsidRPr="005025CD">
        <w:t>národní</w:t>
      </w:r>
      <w:proofErr w:type="spellEnd"/>
      <w:r w:rsidRPr="005025CD">
        <w:t xml:space="preserve"> </w:t>
      </w:r>
      <w:proofErr w:type="spellStart"/>
      <w:r w:rsidRPr="005025CD">
        <w:t>banku</w:t>
      </w:r>
      <w:proofErr w:type="spellEnd"/>
      <w:r w:rsidRPr="005025CD">
        <w:t xml:space="preserve"> o tom, </w:t>
      </w:r>
      <w:proofErr w:type="spellStart"/>
      <w:r w:rsidRPr="005025CD">
        <w:t>zda</w:t>
      </w:r>
      <w:proofErr w:type="spellEnd"/>
      <w:r w:rsidRPr="005025CD">
        <w:t xml:space="preserve"> a </w:t>
      </w:r>
      <w:proofErr w:type="spellStart"/>
      <w:r w:rsidRPr="005025CD">
        <w:t>jak</w:t>
      </w:r>
      <w:proofErr w:type="spellEnd"/>
      <w:r w:rsidRPr="005025CD">
        <w:t xml:space="preserve"> </w:t>
      </w:r>
      <w:proofErr w:type="spellStart"/>
      <w:r w:rsidRPr="005025CD">
        <w:t>plní</w:t>
      </w:r>
      <w:proofErr w:type="spellEnd"/>
      <w:r w:rsidRPr="005025CD">
        <w:t xml:space="preserve"> </w:t>
      </w:r>
      <w:proofErr w:type="spellStart"/>
      <w:r w:rsidRPr="005025CD">
        <w:t>veškeré</w:t>
      </w:r>
      <w:proofErr w:type="spellEnd"/>
      <w:r w:rsidRPr="005025CD">
        <w:t xml:space="preserve"> </w:t>
      </w:r>
      <w:proofErr w:type="spellStart"/>
      <w:r w:rsidRPr="005025CD">
        <w:t>své</w:t>
      </w:r>
      <w:proofErr w:type="spellEnd"/>
      <w:r w:rsidRPr="005025CD">
        <w:t xml:space="preserve"> </w:t>
      </w:r>
      <w:proofErr w:type="spellStart"/>
      <w:r w:rsidRPr="005025CD">
        <w:t>povinnosti</w:t>
      </w:r>
      <w:proofErr w:type="spellEnd"/>
      <w:r w:rsidRPr="005025CD">
        <w:t xml:space="preserve"> </w:t>
      </w:r>
      <w:proofErr w:type="spellStart"/>
      <w:r w:rsidRPr="005025CD">
        <w:t>ve</w:t>
      </w:r>
      <w:proofErr w:type="spellEnd"/>
      <w:r w:rsidRPr="005025CD">
        <w:t xml:space="preserve"> </w:t>
      </w:r>
      <w:proofErr w:type="spellStart"/>
      <w:r w:rsidRPr="005025CD">
        <w:t>vztahu</w:t>
      </w:r>
      <w:proofErr w:type="spellEnd"/>
      <w:r w:rsidRPr="005025CD">
        <w:t xml:space="preserve"> </w:t>
      </w:r>
      <w:proofErr w:type="spellStart"/>
      <w:r w:rsidRPr="005025CD">
        <w:t>ke</w:t>
      </w:r>
      <w:proofErr w:type="spellEnd"/>
      <w:r w:rsidRPr="005025CD">
        <w:t xml:space="preserve"> </w:t>
      </w:r>
      <w:proofErr w:type="spellStart"/>
      <w:r w:rsidRPr="005025CD">
        <w:t>krycímu</w:t>
      </w:r>
      <w:proofErr w:type="spellEnd"/>
      <w:r w:rsidRPr="005025CD">
        <w:t xml:space="preserve"> </w:t>
      </w:r>
      <w:proofErr w:type="spellStart"/>
      <w:r w:rsidRPr="005025CD">
        <w:t>portfoliu</w:t>
      </w:r>
      <w:proofErr w:type="spellEnd"/>
      <w:r w:rsidRPr="005025CD">
        <w:t xml:space="preserve">, </w:t>
      </w:r>
      <w:proofErr w:type="spellStart"/>
      <w:r w:rsidRPr="005025CD">
        <w:t>které</w:t>
      </w:r>
      <w:proofErr w:type="spellEnd"/>
      <w:r w:rsidRPr="005025CD">
        <w:t xml:space="preserve"> mu </w:t>
      </w:r>
      <w:proofErr w:type="spellStart"/>
      <w:r w:rsidRPr="005025CD">
        <w:t>ukládá</w:t>
      </w:r>
      <w:proofErr w:type="spellEnd"/>
      <w:r w:rsidRPr="005025CD">
        <w:t xml:space="preserve"> § 28c </w:t>
      </w:r>
      <w:proofErr w:type="spellStart"/>
      <w:r w:rsidRPr="005025CD">
        <w:t>Zákona</w:t>
      </w:r>
      <w:proofErr w:type="spellEnd"/>
      <w:r w:rsidRPr="005025CD">
        <w:t xml:space="preserve"> o </w:t>
      </w:r>
      <w:proofErr w:type="spellStart"/>
      <w:r w:rsidRPr="005025CD">
        <w:t>dluhopisech</w:t>
      </w:r>
      <w:proofErr w:type="spellEnd"/>
      <w:r w:rsidRPr="005025CD">
        <w:t xml:space="preserve">, </w:t>
      </w:r>
      <w:proofErr w:type="spellStart"/>
      <w:r w:rsidRPr="005025CD">
        <w:t>tedy</w:t>
      </w:r>
      <w:proofErr w:type="spellEnd"/>
      <w:r w:rsidRPr="005025CD">
        <w:t xml:space="preserve"> </w:t>
      </w:r>
      <w:proofErr w:type="spellStart"/>
      <w:r w:rsidRPr="005025CD">
        <w:t>včetně</w:t>
      </w:r>
      <w:proofErr w:type="spellEnd"/>
      <w:r w:rsidRPr="005025CD">
        <w:t xml:space="preserve"> </w:t>
      </w:r>
      <w:proofErr w:type="spellStart"/>
      <w:r w:rsidRPr="005025CD">
        <w:t>souladu</w:t>
      </w:r>
      <w:proofErr w:type="spellEnd"/>
      <w:r w:rsidRPr="005025CD">
        <w:t xml:space="preserve"> s </w:t>
      </w:r>
      <w:proofErr w:type="spellStart"/>
      <w:r w:rsidRPr="005025CD">
        <w:t>požadavky</w:t>
      </w:r>
      <w:proofErr w:type="spellEnd"/>
      <w:r w:rsidRPr="005025CD">
        <w:t xml:space="preserve"> </w:t>
      </w:r>
      <w:proofErr w:type="spellStart"/>
      <w:r w:rsidRPr="005025CD">
        <w:t>Zákonného</w:t>
      </w:r>
      <w:proofErr w:type="spellEnd"/>
      <w:r w:rsidRPr="005025CD">
        <w:t xml:space="preserve"> 85 % </w:t>
      </w:r>
      <w:proofErr w:type="spellStart"/>
      <w:r w:rsidRPr="005025CD">
        <w:t>limitu</w:t>
      </w:r>
      <w:proofErr w:type="spellEnd"/>
      <w:r w:rsidRPr="005025CD">
        <w:t xml:space="preserve"> a </w:t>
      </w:r>
      <w:proofErr w:type="spellStart"/>
      <w:r w:rsidRPr="005025CD">
        <w:t>Zákonného</w:t>
      </w:r>
      <w:proofErr w:type="spellEnd"/>
      <w:r w:rsidRPr="005025CD">
        <w:t xml:space="preserve"> </w:t>
      </w:r>
      <w:proofErr w:type="spellStart"/>
      <w:r w:rsidRPr="005025CD">
        <w:t>limitu</w:t>
      </w:r>
      <w:proofErr w:type="spellEnd"/>
      <w:r w:rsidRPr="005025CD">
        <w:t xml:space="preserve"> </w:t>
      </w:r>
      <w:proofErr w:type="spellStart"/>
      <w:r w:rsidRPr="005025CD">
        <w:t>přezajištění</w:t>
      </w:r>
      <w:proofErr w:type="spellEnd"/>
      <w:r w:rsidRPr="005025CD">
        <w:t>.</w:t>
      </w:r>
    </w:p>
    <w:p w:rsidR="00B90CA0" w:rsidRPr="005025CD" w:rsidRDefault="00B90CA0" w:rsidP="00723DD2">
      <w:pPr>
        <w:pStyle w:val="Doctext0"/>
      </w:pPr>
      <w:proofErr w:type="spellStart"/>
      <w:proofErr w:type="gramStart"/>
      <w:r w:rsidRPr="005025CD">
        <w:t>Pokud</w:t>
      </w:r>
      <w:proofErr w:type="spellEnd"/>
      <w:r w:rsidRPr="005025CD">
        <w:t xml:space="preserve"> </w:t>
      </w:r>
      <w:proofErr w:type="spellStart"/>
      <w:r w:rsidRPr="005025CD">
        <w:t>přes</w:t>
      </w:r>
      <w:proofErr w:type="spellEnd"/>
      <w:r w:rsidRPr="005025CD">
        <w:t xml:space="preserve"> </w:t>
      </w:r>
      <w:proofErr w:type="spellStart"/>
      <w:r w:rsidRPr="005025CD">
        <w:t>výše</w:t>
      </w:r>
      <w:proofErr w:type="spellEnd"/>
      <w:r w:rsidRPr="005025CD">
        <w:t xml:space="preserve"> </w:t>
      </w:r>
      <w:proofErr w:type="spellStart"/>
      <w:r w:rsidRPr="005025CD">
        <w:t>uvedené</w:t>
      </w:r>
      <w:proofErr w:type="spellEnd"/>
      <w:r w:rsidRPr="005025CD">
        <w:t xml:space="preserve"> </w:t>
      </w:r>
      <w:proofErr w:type="spellStart"/>
      <w:r w:rsidRPr="005025CD">
        <w:t>povinnosti</w:t>
      </w:r>
      <w:proofErr w:type="spellEnd"/>
      <w:r w:rsidRPr="005025CD">
        <w:t xml:space="preserve"> </w:t>
      </w:r>
      <w:proofErr w:type="spellStart"/>
      <w:r w:rsidRPr="005025CD">
        <w:t>Emitenta</w:t>
      </w:r>
      <w:proofErr w:type="spellEnd"/>
      <w:r w:rsidRPr="005025CD">
        <w:t xml:space="preserve"> </w:t>
      </w:r>
      <w:proofErr w:type="spellStart"/>
      <w:r w:rsidRPr="005025CD">
        <w:t>nebudou</w:t>
      </w:r>
      <w:proofErr w:type="spellEnd"/>
      <w:r w:rsidRPr="005025CD">
        <w:t xml:space="preserve"> v </w:t>
      </w:r>
      <w:proofErr w:type="spellStart"/>
      <w:r w:rsidRPr="005025CD">
        <w:t>rámci</w:t>
      </w:r>
      <w:proofErr w:type="spellEnd"/>
      <w:r w:rsidRPr="005025CD">
        <w:t xml:space="preserve"> </w:t>
      </w:r>
      <w:proofErr w:type="spellStart"/>
      <w:r w:rsidRPr="005025CD">
        <w:t>plné</w:t>
      </w:r>
      <w:proofErr w:type="spellEnd"/>
      <w:r w:rsidRPr="005025CD">
        <w:t xml:space="preserve"> </w:t>
      </w:r>
      <w:proofErr w:type="spellStart"/>
      <w:r w:rsidRPr="005025CD">
        <w:t>správy</w:t>
      </w:r>
      <w:proofErr w:type="spellEnd"/>
      <w:r w:rsidRPr="005025CD">
        <w:t xml:space="preserve"> </w:t>
      </w:r>
      <w:proofErr w:type="spellStart"/>
      <w:r w:rsidRPr="005025CD">
        <w:t>krytých</w:t>
      </w:r>
      <w:proofErr w:type="spellEnd"/>
      <w:r w:rsidRPr="005025CD">
        <w:t xml:space="preserve"> </w:t>
      </w:r>
      <w:proofErr w:type="spellStart"/>
      <w:r w:rsidRPr="005025CD">
        <w:t>bloků</w:t>
      </w:r>
      <w:proofErr w:type="spellEnd"/>
      <w:r w:rsidRPr="005025CD">
        <w:t xml:space="preserve">, </w:t>
      </w:r>
      <w:proofErr w:type="spellStart"/>
      <w:r w:rsidRPr="005025CD">
        <w:t>jež</w:t>
      </w:r>
      <w:proofErr w:type="spellEnd"/>
      <w:r w:rsidRPr="005025CD">
        <w:t xml:space="preserve"> </w:t>
      </w:r>
      <w:proofErr w:type="spellStart"/>
      <w:r w:rsidRPr="005025CD">
        <w:t>po</w:t>
      </w:r>
      <w:proofErr w:type="spellEnd"/>
      <w:r w:rsidRPr="005025CD">
        <w:t xml:space="preserve"> </w:t>
      </w:r>
      <w:proofErr w:type="spellStart"/>
      <w:r w:rsidRPr="005025CD">
        <w:t>svém</w:t>
      </w:r>
      <w:proofErr w:type="spellEnd"/>
      <w:r w:rsidRPr="005025CD">
        <w:t xml:space="preserve"> </w:t>
      </w:r>
      <w:proofErr w:type="spellStart"/>
      <w:r w:rsidRPr="005025CD">
        <w:t>jmenování</w:t>
      </w:r>
      <w:proofErr w:type="spellEnd"/>
      <w:r w:rsidRPr="005025CD">
        <w:t xml:space="preserve"> </w:t>
      </w:r>
      <w:proofErr w:type="spellStart"/>
      <w:r w:rsidRPr="005025CD">
        <w:t>bude</w:t>
      </w:r>
      <w:proofErr w:type="spellEnd"/>
      <w:r w:rsidRPr="005025CD">
        <w:t xml:space="preserve"> </w:t>
      </w:r>
      <w:proofErr w:type="spellStart"/>
      <w:r w:rsidRPr="005025CD">
        <w:t>vykonávat</w:t>
      </w:r>
      <w:proofErr w:type="spellEnd"/>
      <w:r w:rsidRPr="005025CD">
        <w:t xml:space="preserve"> </w:t>
      </w:r>
      <w:proofErr w:type="spellStart"/>
      <w:r w:rsidRPr="005025CD">
        <w:t>nucený</w:t>
      </w:r>
      <w:proofErr w:type="spellEnd"/>
      <w:r w:rsidRPr="005025CD">
        <w:t xml:space="preserve"> </w:t>
      </w:r>
      <w:proofErr w:type="spellStart"/>
      <w:r w:rsidRPr="005025CD">
        <w:t>správce</w:t>
      </w:r>
      <w:proofErr w:type="spellEnd"/>
      <w:r w:rsidRPr="005025CD">
        <w:t xml:space="preserve"> </w:t>
      </w:r>
      <w:proofErr w:type="spellStart"/>
      <w:r w:rsidRPr="005025CD">
        <w:t>krytých</w:t>
      </w:r>
      <w:proofErr w:type="spellEnd"/>
      <w:r w:rsidRPr="005025CD">
        <w:t xml:space="preserve"> </w:t>
      </w:r>
      <w:proofErr w:type="spellStart"/>
      <w:r w:rsidRPr="005025CD">
        <w:t>bloků</w:t>
      </w:r>
      <w:proofErr w:type="spellEnd"/>
      <w:r w:rsidRPr="005025CD">
        <w:t xml:space="preserve">, </w:t>
      </w:r>
      <w:proofErr w:type="spellStart"/>
      <w:r w:rsidRPr="005025CD">
        <w:t>uspokojeny</w:t>
      </w:r>
      <w:proofErr w:type="spellEnd"/>
      <w:r w:rsidRPr="005025CD">
        <w:t xml:space="preserve"> </w:t>
      </w:r>
      <w:proofErr w:type="spellStart"/>
      <w:r w:rsidRPr="005025CD">
        <w:t>všechny</w:t>
      </w:r>
      <w:proofErr w:type="spellEnd"/>
      <w:r w:rsidRPr="005025CD">
        <w:t xml:space="preserve"> </w:t>
      </w:r>
      <w:proofErr w:type="spellStart"/>
      <w:r w:rsidRPr="005025CD">
        <w:t>Pohledávky</w:t>
      </w:r>
      <w:proofErr w:type="spellEnd"/>
      <w:r w:rsidRPr="005025CD">
        <w:t xml:space="preserve"> z </w:t>
      </w:r>
      <w:proofErr w:type="spellStart"/>
      <w:r w:rsidRPr="005025CD">
        <w:t>Krytých</w:t>
      </w:r>
      <w:proofErr w:type="spellEnd"/>
      <w:r w:rsidRPr="005025CD">
        <w:t xml:space="preserve"> </w:t>
      </w:r>
      <w:proofErr w:type="spellStart"/>
      <w:r w:rsidRPr="005025CD">
        <w:t>dluhopisů</w:t>
      </w:r>
      <w:proofErr w:type="spellEnd"/>
      <w:r w:rsidRPr="005025CD">
        <w:t xml:space="preserve">, </w:t>
      </w:r>
      <w:proofErr w:type="spellStart"/>
      <w:r w:rsidRPr="005025CD">
        <w:t>případnou</w:t>
      </w:r>
      <w:proofErr w:type="spellEnd"/>
      <w:r w:rsidRPr="005025CD">
        <w:t xml:space="preserve"> </w:t>
      </w:r>
      <w:proofErr w:type="spellStart"/>
      <w:r w:rsidRPr="005025CD">
        <w:t>neuspokojenou</w:t>
      </w:r>
      <w:proofErr w:type="spellEnd"/>
      <w:r w:rsidRPr="005025CD">
        <w:t xml:space="preserve"> </w:t>
      </w:r>
      <w:proofErr w:type="spellStart"/>
      <w:r w:rsidRPr="005025CD">
        <w:t>část</w:t>
      </w:r>
      <w:proofErr w:type="spellEnd"/>
      <w:r w:rsidRPr="005025CD">
        <w:t xml:space="preserve"> </w:t>
      </w:r>
      <w:proofErr w:type="spellStart"/>
      <w:r w:rsidRPr="005025CD">
        <w:t>Pohledávek</w:t>
      </w:r>
      <w:proofErr w:type="spellEnd"/>
      <w:r w:rsidRPr="005025CD">
        <w:t xml:space="preserve"> z </w:t>
      </w:r>
      <w:proofErr w:type="spellStart"/>
      <w:r w:rsidRPr="005025CD">
        <w:t>krytých</w:t>
      </w:r>
      <w:proofErr w:type="spellEnd"/>
      <w:r w:rsidRPr="005025CD">
        <w:t xml:space="preserve"> </w:t>
      </w:r>
      <w:proofErr w:type="spellStart"/>
      <w:r w:rsidRPr="005025CD">
        <w:t>dluhopisů</w:t>
      </w:r>
      <w:proofErr w:type="spellEnd"/>
      <w:r w:rsidRPr="005025CD">
        <w:t xml:space="preserve"> (</w:t>
      </w:r>
      <w:proofErr w:type="spellStart"/>
      <w:r w:rsidRPr="005025CD">
        <w:rPr>
          <w:b/>
        </w:rPr>
        <w:t>Zbylé</w:t>
      </w:r>
      <w:proofErr w:type="spellEnd"/>
      <w:r w:rsidRPr="005025CD">
        <w:rPr>
          <w:b/>
        </w:rPr>
        <w:t xml:space="preserve"> </w:t>
      </w:r>
      <w:proofErr w:type="spellStart"/>
      <w:r w:rsidRPr="005025CD">
        <w:rPr>
          <w:b/>
        </w:rPr>
        <w:t>pohledávky</w:t>
      </w:r>
      <w:proofErr w:type="spellEnd"/>
      <w:r w:rsidRPr="005025CD">
        <w:t xml:space="preserve"> </w:t>
      </w:r>
      <w:r w:rsidRPr="005025CD">
        <w:rPr>
          <w:b/>
        </w:rPr>
        <w:t>z </w:t>
      </w:r>
      <w:proofErr w:type="spellStart"/>
      <w:r w:rsidRPr="005025CD">
        <w:rPr>
          <w:b/>
        </w:rPr>
        <w:t>krytých</w:t>
      </w:r>
      <w:proofErr w:type="spellEnd"/>
      <w:r w:rsidRPr="005025CD">
        <w:rPr>
          <w:b/>
        </w:rPr>
        <w:t xml:space="preserve"> </w:t>
      </w:r>
      <w:proofErr w:type="spellStart"/>
      <w:r w:rsidRPr="005025CD">
        <w:rPr>
          <w:b/>
        </w:rPr>
        <w:t>dluhopisů</w:t>
      </w:r>
      <w:proofErr w:type="spellEnd"/>
      <w:r w:rsidRPr="005025CD">
        <w:rPr>
          <w:b/>
        </w:rPr>
        <w:fldChar w:fldCharType="begin"/>
      </w:r>
      <w:r w:rsidRPr="005025CD">
        <w:instrText xml:space="preserve"> XE "Zbylé pohledávky z krytých dluhopisů" </w:instrText>
      </w:r>
      <w:r w:rsidRPr="005025CD">
        <w:rPr>
          <w:b/>
        </w:rPr>
        <w:fldChar w:fldCharType="end"/>
      </w:r>
      <w:r w:rsidRPr="005025CD">
        <w:t xml:space="preserve">) </w:t>
      </w:r>
      <w:proofErr w:type="spellStart"/>
      <w:r w:rsidRPr="005025CD">
        <w:t>mohou</w:t>
      </w:r>
      <w:proofErr w:type="spellEnd"/>
      <w:r w:rsidRPr="005025CD">
        <w:t xml:space="preserve"> </w:t>
      </w:r>
      <w:proofErr w:type="spellStart"/>
      <w:r w:rsidRPr="005025CD">
        <w:t>vlastníci</w:t>
      </w:r>
      <w:proofErr w:type="spellEnd"/>
      <w:r w:rsidRPr="005025CD">
        <w:t xml:space="preserve"> </w:t>
      </w:r>
      <w:proofErr w:type="spellStart"/>
      <w:r w:rsidRPr="005025CD">
        <w:t>Krytých</w:t>
      </w:r>
      <w:proofErr w:type="spellEnd"/>
      <w:r w:rsidRPr="005025CD">
        <w:t xml:space="preserve"> </w:t>
      </w:r>
      <w:proofErr w:type="spellStart"/>
      <w:r w:rsidRPr="005025CD">
        <w:t>dluhopisů</w:t>
      </w:r>
      <w:proofErr w:type="spellEnd"/>
      <w:r w:rsidRPr="005025CD">
        <w:t xml:space="preserve"> </w:t>
      </w:r>
      <w:proofErr w:type="spellStart"/>
      <w:r w:rsidRPr="005025CD">
        <w:t>přihlásit</w:t>
      </w:r>
      <w:proofErr w:type="spellEnd"/>
      <w:r w:rsidRPr="005025CD">
        <w:t xml:space="preserve"> v </w:t>
      </w:r>
      <w:proofErr w:type="spellStart"/>
      <w:r w:rsidRPr="005025CD">
        <w:t>rozsahu</w:t>
      </w:r>
      <w:proofErr w:type="spellEnd"/>
      <w:r w:rsidRPr="005025CD">
        <w:t xml:space="preserve">, v </w:t>
      </w:r>
      <w:proofErr w:type="spellStart"/>
      <w:r w:rsidRPr="005025CD">
        <w:t>jakém</w:t>
      </w:r>
      <w:proofErr w:type="spellEnd"/>
      <w:r w:rsidRPr="005025CD">
        <w:t xml:space="preserve"> </w:t>
      </w:r>
      <w:proofErr w:type="spellStart"/>
      <w:r w:rsidRPr="005025CD">
        <w:t>tato</w:t>
      </w:r>
      <w:proofErr w:type="spellEnd"/>
      <w:r w:rsidRPr="005025CD">
        <w:t xml:space="preserve"> </w:t>
      </w:r>
      <w:proofErr w:type="spellStart"/>
      <w:r w:rsidRPr="005025CD">
        <w:t>není</w:t>
      </w:r>
      <w:proofErr w:type="spellEnd"/>
      <w:r w:rsidRPr="005025CD">
        <w:t xml:space="preserve"> </w:t>
      </w:r>
      <w:proofErr w:type="spellStart"/>
      <w:r w:rsidRPr="005025CD">
        <w:t>kryta</w:t>
      </w:r>
      <w:proofErr w:type="spellEnd"/>
      <w:r w:rsidRPr="005025CD">
        <w:t xml:space="preserve"> </w:t>
      </w:r>
      <w:proofErr w:type="spellStart"/>
      <w:r w:rsidRPr="005025CD">
        <w:t>krycím</w:t>
      </w:r>
      <w:proofErr w:type="spellEnd"/>
      <w:r w:rsidRPr="005025CD">
        <w:t xml:space="preserve"> </w:t>
      </w:r>
      <w:proofErr w:type="spellStart"/>
      <w:r w:rsidRPr="005025CD">
        <w:t>portfoliem</w:t>
      </w:r>
      <w:proofErr w:type="spellEnd"/>
      <w:r w:rsidRPr="005025CD">
        <w:t xml:space="preserve">, a to u </w:t>
      </w:r>
      <w:proofErr w:type="spellStart"/>
      <w:r w:rsidRPr="005025CD">
        <w:t>insolvenčního</w:t>
      </w:r>
      <w:proofErr w:type="spellEnd"/>
      <w:r w:rsidRPr="005025CD">
        <w:t xml:space="preserve"> </w:t>
      </w:r>
      <w:proofErr w:type="spellStart"/>
      <w:r w:rsidRPr="005025CD">
        <w:t>soudu</w:t>
      </w:r>
      <w:proofErr w:type="spellEnd"/>
      <w:r w:rsidRPr="005025CD">
        <w:t xml:space="preserve"> (</w:t>
      </w:r>
      <w:proofErr w:type="spellStart"/>
      <w:r w:rsidRPr="005025CD">
        <w:t>prostřednictvím</w:t>
      </w:r>
      <w:proofErr w:type="spellEnd"/>
      <w:r w:rsidRPr="005025CD">
        <w:t xml:space="preserve"> </w:t>
      </w:r>
      <w:proofErr w:type="spellStart"/>
      <w:r w:rsidRPr="005025CD">
        <w:t>nuceného</w:t>
      </w:r>
      <w:proofErr w:type="spellEnd"/>
      <w:r w:rsidRPr="005025CD">
        <w:t xml:space="preserve"> </w:t>
      </w:r>
      <w:proofErr w:type="spellStart"/>
      <w:r w:rsidRPr="005025CD">
        <w:t>správce</w:t>
      </w:r>
      <w:proofErr w:type="spellEnd"/>
      <w:r w:rsidRPr="005025CD">
        <w:t xml:space="preserve"> </w:t>
      </w:r>
      <w:proofErr w:type="spellStart"/>
      <w:r w:rsidRPr="005025CD">
        <w:t>krytých</w:t>
      </w:r>
      <w:proofErr w:type="spellEnd"/>
      <w:r w:rsidRPr="005025CD">
        <w:t xml:space="preserve"> </w:t>
      </w:r>
      <w:proofErr w:type="spellStart"/>
      <w:r w:rsidRPr="005025CD">
        <w:t>bloků</w:t>
      </w:r>
      <w:proofErr w:type="spellEnd"/>
      <w:r w:rsidRPr="005025CD">
        <w:t xml:space="preserve">, </w:t>
      </w:r>
      <w:proofErr w:type="spellStart"/>
      <w:r w:rsidRPr="005025CD">
        <w:t>který</w:t>
      </w:r>
      <w:proofErr w:type="spellEnd"/>
      <w:r w:rsidRPr="005025CD">
        <w:t xml:space="preserve"> </w:t>
      </w:r>
      <w:proofErr w:type="spellStart"/>
      <w:r w:rsidRPr="005025CD">
        <w:t>Zbylé</w:t>
      </w:r>
      <w:proofErr w:type="spellEnd"/>
      <w:r w:rsidRPr="005025CD">
        <w:t xml:space="preserve"> </w:t>
      </w:r>
      <w:proofErr w:type="spellStart"/>
      <w:r w:rsidRPr="005025CD">
        <w:t>pohledávky</w:t>
      </w:r>
      <w:proofErr w:type="spellEnd"/>
      <w:r w:rsidRPr="005025CD">
        <w:t xml:space="preserve"> z </w:t>
      </w:r>
      <w:proofErr w:type="spellStart"/>
      <w:r w:rsidRPr="005025CD">
        <w:t>krytých</w:t>
      </w:r>
      <w:proofErr w:type="spellEnd"/>
      <w:r w:rsidRPr="005025CD">
        <w:t xml:space="preserve"> </w:t>
      </w:r>
      <w:proofErr w:type="spellStart"/>
      <w:r w:rsidRPr="005025CD">
        <w:t>dluhopisů</w:t>
      </w:r>
      <w:proofErr w:type="spellEnd"/>
      <w:r w:rsidRPr="005025CD">
        <w:t xml:space="preserve"> </w:t>
      </w:r>
      <w:proofErr w:type="spellStart"/>
      <w:r w:rsidRPr="005025CD">
        <w:t>vyčíslí</w:t>
      </w:r>
      <w:proofErr w:type="spellEnd"/>
      <w:r w:rsidRPr="005025CD">
        <w:t xml:space="preserve">) a v </w:t>
      </w:r>
      <w:proofErr w:type="spellStart"/>
      <w:r w:rsidRPr="005025CD">
        <w:t>tomto</w:t>
      </w:r>
      <w:proofErr w:type="spellEnd"/>
      <w:r w:rsidRPr="005025CD">
        <w:t xml:space="preserve"> </w:t>
      </w:r>
      <w:proofErr w:type="spellStart"/>
      <w:r w:rsidRPr="005025CD">
        <w:t>rozsahu</w:t>
      </w:r>
      <w:proofErr w:type="spellEnd"/>
      <w:r w:rsidRPr="005025CD">
        <w:t xml:space="preserve"> by </w:t>
      </w:r>
      <w:proofErr w:type="spellStart"/>
      <w:r w:rsidRPr="005025CD">
        <w:t>byly</w:t>
      </w:r>
      <w:proofErr w:type="spellEnd"/>
      <w:r w:rsidRPr="005025CD">
        <w:t xml:space="preserve"> </w:t>
      </w:r>
      <w:proofErr w:type="spellStart"/>
      <w:r w:rsidRPr="005025CD">
        <w:t>tyto</w:t>
      </w:r>
      <w:proofErr w:type="spellEnd"/>
      <w:r w:rsidRPr="005025CD">
        <w:t xml:space="preserve"> </w:t>
      </w:r>
      <w:proofErr w:type="spellStart"/>
      <w:r w:rsidRPr="005025CD">
        <w:t>uspokojovány</w:t>
      </w:r>
      <w:proofErr w:type="spellEnd"/>
      <w:r w:rsidRPr="005025CD">
        <w:t xml:space="preserve"> co do </w:t>
      </w:r>
      <w:proofErr w:type="spellStart"/>
      <w:r w:rsidRPr="005025CD">
        <w:t>svého</w:t>
      </w:r>
      <w:proofErr w:type="spellEnd"/>
      <w:r w:rsidRPr="005025CD">
        <w:t xml:space="preserve"> </w:t>
      </w:r>
      <w:proofErr w:type="spellStart"/>
      <w:r w:rsidRPr="005025CD">
        <w:t>pořadí</w:t>
      </w:r>
      <w:proofErr w:type="spellEnd"/>
      <w:r w:rsidRPr="005025CD">
        <w:t xml:space="preserve">, v </w:t>
      </w:r>
      <w:proofErr w:type="spellStart"/>
      <w:r w:rsidRPr="005025CD">
        <w:t>souladu</w:t>
      </w:r>
      <w:proofErr w:type="spellEnd"/>
      <w:r w:rsidRPr="005025CD">
        <w:t xml:space="preserve"> s </w:t>
      </w:r>
      <w:proofErr w:type="spellStart"/>
      <w:r w:rsidRPr="005025CD">
        <w:t>kogentními</w:t>
      </w:r>
      <w:proofErr w:type="spellEnd"/>
      <w:r w:rsidRPr="005025CD">
        <w:t xml:space="preserve"> </w:t>
      </w:r>
      <w:proofErr w:type="spellStart"/>
      <w:r w:rsidRPr="005025CD">
        <w:t>ustanoveními</w:t>
      </w:r>
      <w:proofErr w:type="spellEnd"/>
      <w:r w:rsidRPr="005025CD">
        <w:t xml:space="preserve"> </w:t>
      </w:r>
      <w:proofErr w:type="spellStart"/>
      <w:r w:rsidRPr="005025CD">
        <w:t>právních</w:t>
      </w:r>
      <w:proofErr w:type="spellEnd"/>
      <w:r w:rsidRPr="005025CD">
        <w:t xml:space="preserve"> </w:t>
      </w:r>
      <w:proofErr w:type="spellStart"/>
      <w:r w:rsidRPr="005025CD">
        <w:t>předpisů</w:t>
      </w:r>
      <w:proofErr w:type="spellEnd"/>
      <w:r w:rsidRPr="005025CD">
        <w:t xml:space="preserve">, </w:t>
      </w:r>
      <w:proofErr w:type="spellStart"/>
      <w:r w:rsidRPr="005025CD">
        <w:t>zejména</w:t>
      </w:r>
      <w:proofErr w:type="spellEnd"/>
      <w:r w:rsidRPr="005025CD">
        <w:t xml:space="preserve"> </w:t>
      </w:r>
      <w:proofErr w:type="spellStart"/>
      <w:r w:rsidRPr="005025CD">
        <w:t>zákona</w:t>
      </w:r>
      <w:proofErr w:type="spellEnd"/>
      <w:r w:rsidRPr="005025CD">
        <w:t xml:space="preserve"> č. 182/2006 Sb., o </w:t>
      </w:r>
      <w:proofErr w:type="spellStart"/>
      <w:r w:rsidRPr="005025CD">
        <w:t>úpadku</w:t>
      </w:r>
      <w:proofErr w:type="spellEnd"/>
      <w:r w:rsidRPr="005025CD">
        <w:t xml:space="preserve"> a </w:t>
      </w:r>
      <w:proofErr w:type="spellStart"/>
      <w:r w:rsidRPr="005025CD">
        <w:t>způsobech</w:t>
      </w:r>
      <w:proofErr w:type="spellEnd"/>
      <w:r w:rsidRPr="005025CD">
        <w:t xml:space="preserve"> </w:t>
      </w:r>
      <w:proofErr w:type="spellStart"/>
      <w:r w:rsidRPr="005025CD">
        <w:t>jeho</w:t>
      </w:r>
      <w:proofErr w:type="spellEnd"/>
      <w:r w:rsidRPr="005025CD">
        <w:t xml:space="preserve"> </w:t>
      </w:r>
      <w:proofErr w:type="spellStart"/>
      <w:r w:rsidRPr="005025CD">
        <w:t>řešení</w:t>
      </w:r>
      <w:proofErr w:type="spellEnd"/>
      <w:r w:rsidRPr="005025CD">
        <w:t xml:space="preserve"> (</w:t>
      </w:r>
      <w:proofErr w:type="spellStart"/>
      <w:r w:rsidRPr="005025CD">
        <w:t>insolvenční</w:t>
      </w:r>
      <w:proofErr w:type="spellEnd"/>
      <w:r w:rsidRPr="005025CD">
        <w:t xml:space="preserve"> </w:t>
      </w:r>
      <w:proofErr w:type="spellStart"/>
      <w:r w:rsidRPr="005025CD">
        <w:t>zákon</w:t>
      </w:r>
      <w:proofErr w:type="spellEnd"/>
      <w:r w:rsidRPr="005025CD">
        <w:t xml:space="preserve">), </w:t>
      </w:r>
      <w:proofErr w:type="spellStart"/>
      <w:r w:rsidRPr="005025CD">
        <w:t>ve</w:t>
      </w:r>
      <w:proofErr w:type="spellEnd"/>
      <w:r w:rsidRPr="005025CD">
        <w:t xml:space="preserve"> </w:t>
      </w:r>
      <w:proofErr w:type="spellStart"/>
      <w:r w:rsidRPr="005025CD">
        <w:t>znění</w:t>
      </w:r>
      <w:proofErr w:type="spellEnd"/>
      <w:r w:rsidRPr="005025CD">
        <w:t xml:space="preserve"> </w:t>
      </w:r>
      <w:proofErr w:type="spellStart"/>
      <w:r w:rsidRPr="005025CD">
        <w:t>pozdějších</w:t>
      </w:r>
      <w:proofErr w:type="spellEnd"/>
      <w:r w:rsidRPr="005025CD">
        <w:t xml:space="preserve"> </w:t>
      </w:r>
      <w:proofErr w:type="spellStart"/>
      <w:r w:rsidRPr="005025CD">
        <w:t>předpisů</w:t>
      </w:r>
      <w:proofErr w:type="spellEnd"/>
      <w:r w:rsidRPr="005025CD">
        <w:t xml:space="preserve"> (</w:t>
      </w:r>
      <w:proofErr w:type="spellStart"/>
      <w:r w:rsidRPr="005025CD">
        <w:rPr>
          <w:b/>
        </w:rPr>
        <w:t>Insolvenční</w:t>
      </w:r>
      <w:proofErr w:type="spellEnd"/>
      <w:r w:rsidRPr="005025CD">
        <w:rPr>
          <w:b/>
        </w:rPr>
        <w:t xml:space="preserve"> </w:t>
      </w:r>
      <w:proofErr w:type="spellStart"/>
      <w:r w:rsidRPr="005025CD">
        <w:rPr>
          <w:b/>
        </w:rPr>
        <w:t>zákon</w:t>
      </w:r>
      <w:proofErr w:type="spellEnd"/>
      <w:r w:rsidRPr="005025CD">
        <w:fldChar w:fldCharType="begin"/>
      </w:r>
      <w:r w:rsidRPr="005025CD">
        <w:instrText xml:space="preserve"> XE "Insolvenční zákon" </w:instrText>
      </w:r>
      <w:r w:rsidRPr="005025CD">
        <w:fldChar w:fldCharType="end"/>
      </w:r>
      <w:r w:rsidRPr="005025CD">
        <w:t xml:space="preserve">) </w:t>
      </w:r>
      <w:proofErr w:type="spellStart"/>
      <w:r w:rsidRPr="005025CD">
        <w:t>upravujícími</w:t>
      </w:r>
      <w:proofErr w:type="spellEnd"/>
      <w:r w:rsidRPr="005025CD">
        <w:t xml:space="preserve"> </w:t>
      </w:r>
      <w:proofErr w:type="spellStart"/>
      <w:r w:rsidRPr="005025CD">
        <w:t>pořadí</w:t>
      </w:r>
      <w:proofErr w:type="spellEnd"/>
      <w:r w:rsidRPr="005025CD">
        <w:t xml:space="preserve"> </w:t>
      </w:r>
      <w:proofErr w:type="spellStart"/>
      <w:r w:rsidRPr="005025CD">
        <w:t>uspokojování</w:t>
      </w:r>
      <w:proofErr w:type="spellEnd"/>
      <w:r w:rsidRPr="005025CD">
        <w:t xml:space="preserve"> </w:t>
      </w:r>
      <w:proofErr w:type="spellStart"/>
      <w:r w:rsidRPr="005025CD">
        <w:t>těchto</w:t>
      </w:r>
      <w:proofErr w:type="spellEnd"/>
      <w:r w:rsidRPr="005025CD">
        <w:t xml:space="preserve"> a </w:t>
      </w:r>
      <w:proofErr w:type="spellStart"/>
      <w:r w:rsidRPr="005025CD">
        <w:t>jiných</w:t>
      </w:r>
      <w:proofErr w:type="spellEnd"/>
      <w:r w:rsidRPr="005025CD">
        <w:t xml:space="preserve"> </w:t>
      </w:r>
      <w:proofErr w:type="spellStart"/>
      <w:r w:rsidRPr="005025CD">
        <w:t>pohledávek</w:t>
      </w:r>
      <w:proofErr w:type="spellEnd"/>
      <w:r w:rsidRPr="005025CD">
        <w:t xml:space="preserve"> </w:t>
      </w:r>
      <w:proofErr w:type="spellStart"/>
      <w:r w:rsidRPr="005025CD">
        <w:t>vůči</w:t>
      </w:r>
      <w:proofErr w:type="spellEnd"/>
      <w:r w:rsidRPr="005025CD">
        <w:t xml:space="preserve"> </w:t>
      </w:r>
      <w:proofErr w:type="spellStart"/>
      <w:r w:rsidRPr="005025CD">
        <w:t>Emitentovi</w:t>
      </w:r>
      <w:proofErr w:type="spellEnd"/>
      <w:r w:rsidRPr="005025CD">
        <w:t xml:space="preserve"> a v </w:t>
      </w:r>
      <w:proofErr w:type="spellStart"/>
      <w:r w:rsidRPr="005025CD">
        <w:t>jejich</w:t>
      </w:r>
      <w:proofErr w:type="spellEnd"/>
      <w:r w:rsidRPr="005025CD">
        <w:t xml:space="preserve"> </w:t>
      </w:r>
      <w:proofErr w:type="spellStart"/>
      <w:r w:rsidRPr="005025CD">
        <w:t>mezích</w:t>
      </w:r>
      <w:proofErr w:type="spellEnd"/>
      <w:r w:rsidRPr="005025CD">
        <w:t xml:space="preserve">, </w:t>
      </w:r>
      <w:proofErr w:type="spellStart"/>
      <w:r w:rsidRPr="005025CD">
        <w:t>spolu</w:t>
      </w:r>
      <w:proofErr w:type="spellEnd"/>
      <w:r w:rsidRPr="005025CD">
        <w:t xml:space="preserve"> s </w:t>
      </w:r>
      <w:proofErr w:type="spellStart"/>
      <w:r w:rsidRPr="005025CD">
        <w:t>jinými</w:t>
      </w:r>
      <w:proofErr w:type="spellEnd"/>
      <w:r w:rsidRPr="005025CD">
        <w:t xml:space="preserve"> </w:t>
      </w:r>
      <w:proofErr w:type="spellStart"/>
      <w:r w:rsidRPr="005025CD">
        <w:t>Běžnými</w:t>
      </w:r>
      <w:proofErr w:type="spellEnd"/>
      <w:r w:rsidRPr="005025CD">
        <w:t xml:space="preserve"> </w:t>
      </w:r>
      <w:proofErr w:type="spellStart"/>
      <w:r w:rsidRPr="005025CD">
        <w:t>pohledávkami</w:t>
      </w:r>
      <w:proofErr w:type="spellEnd"/>
      <w:r w:rsidRPr="005025CD">
        <w:t>, a to:</w:t>
      </w:r>
      <w:proofErr w:type="gramEnd"/>
    </w:p>
    <w:p w:rsidR="00B90CA0" w:rsidRPr="005025CD" w:rsidRDefault="00B90CA0" w:rsidP="00B90CA0">
      <w:pPr>
        <w:pStyle w:val="AOAltHead4"/>
      </w:pPr>
      <w:r w:rsidRPr="005025CD">
        <w:t>rovnocenně (</w:t>
      </w:r>
      <w:r w:rsidRPr="005025CD">
        <w:rPr>
          <w:i/>
        </w:rPr>
        <w:t xml:space="preserve">pari </w:t>
      </w:r>
      <w:proofErr w:type="spellStart"/>
      <w:r w:rsidRPr="005025CD">
        <w:rPr>
          <w:i/>
        </w:rPr>
        <w:t>passu</w:t>
      </w:r>
      <w:proofErr w:type="spellEnd"/>
      <w:r w:rsidRPr="005025CD">
        <w:t>) a poměrně mezi sebou navzájem a s jinými současnými či budoucími Nepodřízenými preferenčními pohledávkami, vyjma těch Nepodřízených preferenčních pohledávek, které jsou na základě právních předpisů nebo smlouvy uspokojovány až po uspokojení Zbylých pohledávek z krytých dluhopisů a jim na roveň postavenými pohledávkami; a</w:t>
      </w:r>
    </w:p>
    <w:p w:rsidR="00B90CA0" w:rsidRPr="005025CD" w:rsidRDefault="00B90CA0" w:rsidP="00B90CA0">
      <w:pPr>
        <w:pStyle w:val="AOAltHead4"/>
      </w:pPr>
      <w:r w:rsidRPr="005025CD">
        <w:t>přednostně před současnými nebo budoucími Nepodřízenými preferenčními pohledávkami, které jsou na základě právních předpisů nebo smlouvy uspokojovány až po uspokojení Zbylých pohledávek z krytých dluhopisů a jim na roveň postavenými pohledávkami, Nepodřízenými nepreferenčními pohledávkami a Podřízenými pohledávkami.</w:t>
      </w:r>
    </w:p>
    <w:p w:rsidR="00B90CA0" w:rsidRPr="005025CD" w:rsidRDefault="00B90CA0" w:rsidP="00B90CA0">
      <w:pPr>
        <w:pStyle w:val="AODocTxt"/>
      </w:pPr>
      <w:r w:rsidRPr="005025CD">
        <w:lastRenderedPageBreak/>
        <w:t xml:space="preserve">V tomto článku </w:t>
      </w:r>
      <w:r w:rsidRPr="005025CD">
        <w:fldChar w:fldCharType="begin"/>
      </w:r>
      <w:r w:rsidRPr="005025CD">
        <w:instrText xml:space="preserve"> REF _Ref35888122 \r \h </w:instrText>
      </w:r>
      <w:r>
        <w:instrText xml:space="preserve"> \* MERGEFORMAT </w:instrText>
      </w:r>
      <w:r w:rsidRPr="005025CD">
        <w:fldChar w:fldCharType="separate"/>
      </w:r>
      <w:r w:rsidR="00723DD2">
        <w:t>3</w:t>
      </w:r>
      <w:r w:rsidRPr="005025CD">
        <w:fldChar w:fldCharType="end"/>
      </w:r>
      <w:r w:rsidRPr="005025CD">
        <w:t xml:space="preserve"> mají použité výrazy s velkým písmenem následující význam:</w:t>
      </w:r>
    </w:p>
    <w:p w:rsidR="00B90CA0" w:rsidRPr="005025CD" w:rsidRDefault="00B90CA0" w:rsidP="00B90CA0">
      <w:pPr>
        <w:pStyle w:val="AODocTxt"/>
      </w:pPr>
      <w:r w:rsidRPr="005025CD">
        <w:rPr>
          <w:b/>
        </w:rPr>
        <w:t>Běžné pohledávky</w:t>
      </w:r>
      <w:r w:rsidRPr="005025CD">
        <w:rPr>
          <w:b/>
        </w:rPr>
        <w:fldChar w:fldCharType="begin"/>
      </w:r>
      <w:r w:rsidRPr="005025CD">
        <w:instrText xml:space="preserve"> XE "Běžné pohledávky" </w:instrText>
      </w:r>
      <w:r w:rsidRPr="005025CD">
        <w:rPr>
          <w:b/>
        </w:rPr>
        <w:fldChar w:fldCharType="end"/>
      </w:r>
      <w:r w:rsidRPr="005025CD">
        <w:t xml:space="preserve"> znamená jakékoli nepodřízené pohledávky vůči Emitentovi, včetně Zbylých pohledávek z krytých dluhopisů, Nepodřízených preferenčních pohledávek a Nepodřízených nepreferenčních pohledávek, vyjma Přednostních pohledávek.</w:t>
      </w:r>
    </w:p>
    <w:p w:rsidR="00B90CA0" w:rsidRPr="005025CD" w:rsidRDefault="00B90CA0" w:rsidP="00B90CA0">
      <w:pPr>
        <w:pStyle w:val="AODocTxt"/>
      </w:pPr>
      <w:r w:rsidRPr="005025CD">
        <w:rPr>
          <w:b/>
        </w:rPr>
        <w:t>CRR</w:t>
      </w:r>
      <w:r w:rsidRPr="005025CD">
        <w:rPr>
          <w:b/>
        </w:rPr>
        <w:fldChar w:fldCharType="begin"/>
      </w:r>
      <w:r w:rsidRPr="005025CD">
        <w:instrText xml:space="preserve"> XE "CRR" </w:instrText>
      </w:r>
      <w:r w:rsidRPr="005025CD">
        <w:rPr>
          <w:b/>
        </w:rPr>
        <w:fldChar w:fldCharType="end"/>
      </w:r>
      <w:r w:rsidRPr="005025CD">
        <w:t xml:space="preserve"> znamená Nařízení Evropského parlamentu a Rady (EU) 575/2013 o obezřetnostních požadavcích na úvěrové instituce a investiční podniky, ve znění pozdějších předpisů, včetně nařízení Evropského parlamentu a Rady (EU) 2019/876, kterým se mění nařízení (EU) č. 575/2013.</w:t>
      </w:r>
    </w:p>
    <w:p w:rsidR="00B90CA0" w:rsidRPr="005025CD" w:rsidRDefault="00B90CA0" w:rsidP="00B90CA0">
      <w:pPr>
        <w:pStyle w:val="AODocTxt"/>
      </w:pPr>
      <w:r w:rsidRPr="005025CD">
        <w:rPr>
          <w:b/>
        </w:rPr>
        <w:t>Nepodřízené nepreferenční pohledávky</w:t>
      </w:r>
      <w:r w:rsidRPr="005025CD">
        <w:rPr>
          <w:b/>
        </w:rPr>
        <w:fldChar w:fldCharType="begin"/>
      </w:r>
      <w:r w:rsidRPr="005025CD">
        <w:instrText xml:space="preserve"> XE "Nepodřízené nepreferenční pohledávky" </w:instrText>
      </w:r>
      <w:r w:rsidRPr="005025CD">
        <w:rPr>
          <w:b/>
        </w:rPr>
        <w:fldChar w:fldCharType="end"/>
      </w:r>
      <w:r w:rsidRPr="005025CD">
        <w:t xml:space="preserve"> znamená pohledávky vůči Emitentovi spojené s nepodřízenými nepreferenčními dluhopisy jinými nepreferovanými dluhovými nástroji podle § 374b Insolvenčního zákona a jakékoli jiné pohledávky vůči Emitentovi, které se na základě ustanovení právních předpisů nebo smlouvy v případě rozhodnutí o úpadku Emitenta uspokojí spolu s Běžnými pohledávkami, avšak až po uspokojení všech ostatních nepodřízených pohledávek, vyjma pohledávek vyloučených ze způsobů řešení úpadku podle § 170 Insolvenčního zákona.</w:t>
      </w:r>
    </w:p>
    <w:p w:rsidR="00B90CA0" w:rsidRPr="005025CD" w:rsidRDefault="00B90CA0" w:rsidP="00B90CA0">
      <w:pPr>
        <w:pStyle w:val="AODocTxt"/>
      </w:pPr>
      <w:r w:rsidRPr="005025CD">
        <w:rPr>
          <w:b/>
        </w:rPr>
        <w:t>Nepodřízené preferenční pohledávky</w:t>
      </w:r>
      <w:r w:rsidRPr="005025CD">
        <w:rPr>
          <w:b/>
        </w:rPr>
        <w:fldChar w:fldCharType="begin"/>
      </w:r>
      <w:r w:rsidRPr="005025CD">
        <w:instrText xml:space="preserve"> XE "Nepodřízené preferenční pohledávky" </w:instrText>
      </w:r>
      <w:r w:rsidRPr="005025CD">
        <w:rPr>
          <w:b/>
        </w:rPr>
        <w:fldChar w:fldCharType="end"/>
      </w:r>
      <w:r w:rsidRPr="005025CD">
        <w:t xml:space="preserve"> znamená Zbylé pohledávky z krytých dluhopisů a jakékoli jiné Běžné pohledávky vyjma Nepodřízených nepreferenčních pohledávek.</w:t>
      </w:r>
    </w:p>
    <w:p w:rsidR="00B90CA0" w:rsidRPr="005025CD" w:rsidRDefault="00B90CA0" w:rsidP="00B90CA0">
      <w:pPr>
        <w:pStyle w:val="AODocTxt"/>
      </w:pPr>
      <w:r w:rsidRPr="005025CD">
        <w:rPr>
          <w:b/>
        </w:rPr>
        <w:t>Podřízené pohledávky</w:t>
      </w:r>
      <w:r w:rsidRPr="005025CD">
        <w:rPr>
          <w:b/>
        </w:rPr>
        <w:fldChar w:fldCharType="begin"/>
      </w:r>
      <w:r w:rsidRPr="005025CD">
        <w:instrText xml:space="preserve"> XE "Podřízené pohledávky" </w:instrText>
      </w:r>
      <w:r w:rsidRPr="005025CD">
        <w:rPr>
          <w:b/>
        </w:rPr>
        <w:fldChar w:fldCharType="end"/>
      </w:r>
      <w:r w:rsidRPr="005025CD">
        <w:t xml:space="preserve"> znamená pohledávky vůči Emitentovi, které jsou podřízené ostatním pohledávkám vůči Emitentovi a které se v případě rozhodnutí o úpadku Emitenta uspokojují až po úplném uhrazení všech Běžných pohledávek, vyjma pohledávek vyloučených ze způsobů řešení úpadku podle § 170 Insolvenčního zákona.</w:t>
      </w:r>
    </w:p>
    <w:p w:rsidR="00B90CA0" w:rsidRPr="005025CD" w:rsidRDefault="00B90CA0" w:rsidP="00B90CA0">
      <w:pPr>
        <w:pStyle w:val="AODocTxt"/>
      </w:pPr>
      <w:r w:rsidRPr="005025CD">
        <w:rPr>
          <w:b/>
        </w:rPr>
        <w:t>Přednostní pohledávky</w:t>
      </w:r>
      <w:r w:rsidRPr="005025CD">
        <w:rPr>
          <w:b/>
        </w:rPr>
        <w:fldChar w:fldCharType="begin"/>
      </w:r>
      <w:r w:rsidRPr="005025CD">
        <w:instrText xml:space="preserve"> XE "Přednostní pohledávky" </w:instrText>
      </w:r>
      <w:r w:rsidRPr="005025CD">
        <w:rPr>
          <w:b/>
        </w:rPr>
        <w:fldChar w:fldCharType="end"/>
      </w:r>
      <w:r w:rsidRPr="005025CD">
        <w:t xml:space="preserve"> znamená pohledávky vůči Emitentovi, které se dle Insolvenčního zákona nebo smlouvy z majetkové podstaty v případě rozhodnutí o úpadku Emitenta mohou uspokojit přednostně před jinými nepodřízenými pohledávkami vůči Emitentovi, a to pohledávky dle § 374, 374a a 375 Insolvenčního zákona, pohledávky zajištěného věřitele v mezích § 167 Insolvenčního zákona, pohledávky za majetkovou podstatou dle § 168 Insolvenčního zákona a pohledávky postavené na roveň pohledávkám za majetkovou podstatou dle § 169 Insolvenčního zákona.</w:t>
      </w:r>
    </w:p>
    <w:p w:rsidR="00B90CA0" w:rsidRPr="005025CD" w:rsidRDefault="00B90CA0" w:rsidP="00B90CA0">
      <w:pPr>
        <w:pStyle w:val="Level2"/>
        <w:numPr>
          <w:ilvl w:val="1"/>
          <w:numId w:val="38"/>
        </w:numPr>
        <w:rPr>
          <w:rFonts w:hint="eastAsia"/>
          <w:lang w:val="cs-CZ"/>
        </w:rPr>
      </w:pPr>
      <w:r w:rsidRPr="005025CD">
        <w:rPr>
          <w:lang w:val="cs-CZ"/>
        </w:rPr>
        <w:t>Prohlášení a povinnosti emitenta týkající se krycího bloku a krycí portfolio</w:t>
      </w:r>
    </w:p>
    <w:p w:rsidR="00B90CA0" w:rsidRPr="005025CD" w:rsidRDefault="00B90CA0" w:rsidP="00B90CA0">
      <w:pPr>
        <w:spacing w:before="240" w:line="260" w:lineRule="atLeast"/>
        <w:jc w:val="both"/>
        <w:rPr>
          <w:rFonts w:eastAsia="Calibri"/>
        </w:rPr>
      </w:pPr>
      <w:r w:rsidRPr="005025CD">
        <w:rPr>
          <w:rFonts w:eastAsia="Calibri"/>
        </w:rPr>
        <w:t xml:space="preserve">Emitent prohlašuje, že Zákonný 85 % limit a Zákonný limit </w:t>
      </w:r>
      <w:proofErr w:type="spellStart"/>
      <w:r w:rsidRPr="005025CD">
        <w:rPr>
          <w:rFonts w:eastAsia="Calibri"/>
        </w:rPr>
        <w:t>přezajištění</w:t>
      </w:r>
      <w:proofErr w:type="spellEnd"/>
      <w:r w:rsidRPr="005025CD">
        <w:rPr>
          <w:rFonts w:eastAsia="Calibri"/>
        </w:rPr>
        <w:t xml:space="preserve"> bude dodržovat ve vztahu ke všem dosud vydaným a nesplaceným Krytým dluhopisům v oběhu (za Kryté dluhopisy v oběhu se považují kryté dluhopisy ve vlastnictví osob odlišných od Emitenta nebo Kryté dluhopisy ve vlastnictví Emitenta, které byly Emitentem poskytnuty jiné osobě jako zajištění).</w:t>
      </w:r>
    </w:p>
    <w:p w:rsidR="00B90CA0" w:rsidRPr="005025CD" w:rsidRDefault="00B90CA0" w:rsidP="00B90CA0">
      <w:pPr>
        <w:spacing w:before="240" w:line="260" w:lineRule="atLeast"/>
        <w:jc w:val="both"/>
        <w:rPr>
          <w:rFonts w:eastAsia="Calibri"/>
        </w:rPr>
      </w:pPr>
      <w:r w:rsidRPr="005025CD">
        <w:rPr>
          <w:rFonts w:eastAsia="Calibri"/>
        </w:rPr>
        <w:t xml:space="preserve">Krycí portfolio sloužící ke krytí dluhů z příslušné Emise se nazývá „RBCZ_HZL_CZK_KRYCÍ_PORTFOLIO_I“ Toto krycí portfolio obsahuje zejména pohledávky z </w:t>
      </w:r>
      <w:r w:rsidRPr="005025CD">
        <w:t>hypotečních úvěrů dle § 31 odst. 2 písm. a) Zákona o dluhopisech a pohledávky z úvěrů či půjček splňujících kritéria podle článku 129 odst. 1 písm. d) až f) CRR</w:t>
      </w:r>
      <w:r w:rsidRPr="005025CD">
        <w:rPr>
          <w:rFonts w:eastAsia="Calibri"/>
        </w:rPr>
        <w:t xml:space="preserve"> a v příslušném poměru další věci a práva uvedená v § 31 odst. 2 Zákona o dluhopisech (</w:t>
      </w:r>
      <w:r w:rsidRPr="005025CD">
        <w:rPr>
          <w:rFonts w:eastAsia="Calibri"/>
          <w:b/>
        </w:rPr>
        <w:t>Krycí portfolio</w:t>
      </w:r>
      <w:r w:rsidRPr="005025CD">
        <w:rPr>
          <w:rFonts w:eastAsia="Calibri"/>
          <w:b/>
        </w:rPr>
        <w:fldChar w:fldCharType="begin"/>
      </w:r>
      <w:r w:rsidRPr="005025CD">
        <w:instrText xml:space="preserve"> XE "</w:instrText>
      </w:r>
      <w:r w:rsidRPr="005025CD">
        <w:rPr>
          <w:rFonts w:eastAsia="Calibri"/>
        </w:rPr>
        <w:instrText>Krycí portfolio</w:instrText>
      </w:r>
      <w:r w:rsidRPr="005025CD">
        <w:instrText xml:space="preserve">" </w:instrText>
      </w:r>
      <w:r w:rsidRPr="005025CD">
        <w:rPr>
          <w:rFonts w:eastAsia="Calibri"/>
          <w:b/>
        </w:rPr>
        <w:fldChar w:fldCharType="end"/>
      </w:r>
      <w:r w:rsidRPr="005025CD">
        <w:rPr>
          <w:rFonts w:eastAsia="Calibri"/>
        </w:rPr>
        <w:t xml:space="preserve">). </w:t>
      </w:r>
    </w:p>
    <w:p w:rsidR="00B90CA0" w:rsidRPr="005025CD" w:rsidRDefault="00B90CA0" w:rsidP="00B90CA0">
      <w:pPr>
        <w:pStyle w:val="DocText"/>
        <w:tabs>
          <w:tab w:val="clear" w:pos="720"/>
        </w:tabs>
        <w:spacing w:line="260" w:lineRule="atLeast"/>
        <w:ind w:left="0" w:firstLine="0"/>
        <w:rPr>
          <w:lang w:val="cs-CZ"/>
        </w:rPr>
      </w:pPr>
      <w:r w:rsidRPr="005025CD">
        <w:rPr>
          <w:rFonts w:eastAsia="Calibri"/>
          <w:lang w:val="cs-CZ"/>
        </w:rPr>
        <w:t>V případě, že by z jakéhokoli důvodu Krycí portfolio přestalo plně krýt souhrnnou hodnotu všech dluhů, včetně dluhů z dosud vydaných a nesplacených Krytých dluhopisů v oběhu, k jejichž krytí toto Krycí portfolio slouží a nebude možné zapsat do Krycího portfolia nová krycí aktiva, bude Emitent odkupovat Kryté dluhopisy nebo jiné jím vydané kryté dluhopisy, dokud nebude výše v té době existujícího příslušného Krycího portfolia plně krýt výše uvedené dluhy.</w:t>
      </w:r>
    </w:p>
    <w:p w:rsidR="00B90CA0" w:rsidRPr="005025CD" w:rsidRDefault="00B90CA0" w:rsidP="00B90CA0">
      <w:pPr>
        <w:pStyle w:val="DocText"/>
        <w:tabs>
          <w:tab w:val="clear" w:pos="720"/>
        </w:tabs>
        <w:spacing w:line="260" w:lineRule="atLeast"/>
        <w:ind w:left="0" w:firstLine="0"/>
        <w:rPr>
          <w:lang w:val="cs-CZ"/>
        </w:rPr>
      </w:pPr>
      <w:r w:rsidRPr="005025CD">
        <w:rPr>
          <w:rFonts w:eastAsia="Calibri"/>
          <w:lang w:val="cs-CZ"/>
        </w:rPr>
        <w:t xml:space="preserve">V případě rozhodnutí o úpadku Emitenta se pohledávky Vlastníků dluhopisů </w:t>
      </w:r>
      <w:r w:rsidRPr="005025CD">
        <w:rPr>
          <w:lang w:val="cs-CZ"/>
        </w:rPr>
        <w:t>uspokojí zejména z krycích aktiv evidovaných v Krycím portfoliu v souladu se Zákonem o dluhopisech a těmito Emisními podmínkami.</w:t>
      </w:r>
    </w:p>
    <w:p w:rsidR="00B90CA0" w:rsidRPr="005025CD" w:rsidRDefault="00B90CA0" w:rsidP="00B90CA0">
      <w:pPr>
        <w:pStyle w:val="Level1"/>
        <w:numPr>
          <w:ilvl w:val="0"/>
          <w:numId w:val="38"/>
        </w:numPr>
        <w:rPr>
          <w:rFonts w:hint="eastAsia"/>
          <w:u w:val="single"/>
          <w:lang w:val="cs-CZ"/>
        </w:rPr>
      </w:pPr>
      <w:bookmarkStart w:id="110" w:name="_Toc256000040"/>
      <w:bookmarkStart w:id="111" w:name="_Toc373436374"/>
      <w:bookmarkStart w:id="112" w:name="_Ref426652317"/>
      <w:bookmarkStart w:id="113" w:name="_Ref428879782"/>
      <w:bookmarkStart w:id="114" w:name="_Toc433993911"/>
      <w:bookmarkStart w:id="115" w:name="_Toc441155791"/>
      <w:bookmarkStart w:id="116" w:name="_Toc441755391"/>
      <w:bookmarkStart w:id="117" w:name="_Toc457259497"/>
      <w:bookmarkStart w:id="118" w:name="_Toc468696766"/>
      <w:bookmarkStart w:id="119" w:name="_Toc507159356"/>
      <w:bookmarkStart w:id="120" w:name="_Toc10478025"/>
      <w:r w:rsidRPr="005025CD">
        <w:rPr>
          <w:u w:val="single"/>
          <w:lang w:val="cs-CZ"/>
        </w:rPr>
        <w:lastRenderedPageBreak/>
        <w:t>Výnos</w:t>
      </w:r>
      <w:bookmarkEnd w:id="110"/>
      <w:bookmarkEnd w:id="111"/>
      <w:bookmarkEnd w:id="112"/>
      <w:bookmarkEnd w:id="113"/>
      <w:bookmarkEnd w:id="114"/>
      <w:bookmarkEnd w:id="115"/>
      <w:bookmarkEnd w:id="116"/>
      <w:bookmarkEnd w:id="117"/>
      <w:bookmarkEnd w:id="118"/>
      <w:bookmarkEnd w:id="119"/>
      <w:bookmarkEnd w:id="120"/>
    </w:p>
    <w:p w:rsidR="00B90CA0" w:rsidRPr="005025CD" w:rsidRDefault="00B90CA0" w:rsidP="00B90CA0">
      <w:pPr>
        <w:pStyle w:val="Level2"/>
        <w:numPr>
          <w:ilvl w:val="1"/>
          <w:numId w:val="38"/>
        </w:numPr>
        <w:rPr>
          <w:rFonts w:hint="eastAsia"/>
          <w:lang w:val="cs-CZ"/>
        </w:rPr>
      </w:pPr>
      <w:bookmarkStart w:id="121" w:name="_Toc256000041"/>
      <w:bookmarkStart w:id="122" w:name="_Ref426652142"/>
      <w:bookmarkStart w:id="123" w:name="_Ref426725954"/>
      <w:bookmarkStart w:id="124" w:name="_Ref427080798"/>
      <w:bookmarkStart w:id="125" w:name="_Toc433993912"/>
      <w:bookmarkStart w:id="126" w:name="_Toc441155792"/>
      <w:bookmarkStart w:id="127" w:name="_Toc441755392"/>
      <w:bookmarkStart w:id="128" w:name="_Toc457259498"/>
      <w:bookmarkStart w:id="129" w:name="_Ref458011144"/>
      <w:bookmarkStart w:id="130" w:name="_Toc468696767"/>
      <w:bookmarkStart w:id="131" w:name="_Toc507159357"/>
      <w:bookmarkStart w:id="132" w:name="_Ref508201675"/>
      <w:bookmarkStart w:id="133" w:name="_Ref508201717"/>
      <w:r w:rsidRPr="005025CD">
        <w:rPr>
          <w:lang w:val="cs-CZ"/>
        </w:rPr>
        <w:t>Způsob úročení, výnosové období</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Kryté dluhopisy jsou úročeny pevnou úrokovou sazbou ve výši 1 % </w:t>
      </w:r>
      <w:proofErr w:type="spellStart"/>
      <w:proofErr w:type="gramStart"/>
      <w:r w:rsidRPr="005025CD">
        <w:rPr>
          <w:lang w:val="cs-CZ"/>
        </w:rPr>
        <w:t>p.a</w:t>
      </w:r>
      <w:proofErr w:type="spellEnd"/>
      <w:r w:rsidRPr="005025CD">
        <w:rPr>
          <w:lang w:val="cs-CZ"/>
        </w:rPr>
        <w:t>.</w:t>
      </w:r>
      <w:proofErr w:type="gramEnd"/>
      <w:r w:rsidRPr="005025CD">
        <w:rPr>
          <w:lang w:val="cs-CZ"/>
        </w:rPr>
        <w:t xml:space="preserve"> (</w:t>
      </w:r>
      <w:r w:rsidRPr="005025CD">
        <w:rPr>
          <w:b/>
          <w:lang w:val="cs-CZ"/>
        </w:rPr>
        <w:t>Úroková sazba</w:t>
      </w:r>
      <w:r w:rsidRPr="005025CD">
        <w:rPr>
          <w:b/>
          <w:lang w:val="cs-CZ"/>
        </w:rPr>
        <w:fldChar w:fldCharType="begin"/>
      </w:r>
      <w:r w:rsidRPr="005025CD">
        <w:rPr>
          <w:lang w:val="cs-CZ"/>
        </w:rPr>
        <w:instrText xml:space="preserve"> XE "Úroková sazba" </w:instrText>
      </w:r>
      <w:r w:rsidRPr="005025CD">
        <w:rPr>
          <w:b/>
          <w:lang w:val="cs-CZ"/>
        </w:rPr>
        <w:fldChar w:fldCharType="end"/>
      </w:r>
      <w:r w:rsidRPr="005025CD">
        <w:rPr>
          <w:lang w:val="cs-CZ"/>
        </w:rPr>
        <w:t>). Úrokové výnosy budou narůstat od prvního dne každého Výnosového období do posledního dne, který se do takového Výnosového období ještě zahrnuje. Úrokové výnosy budou vypláceny za každé Výnosové období ročně zpětně, a to vždy k ročnímu výročí Data emise (</w:t>
      </w:r>
      <w:r w:rsidRPr="005025CD">
        <w:rPr>
          <w:b/>
          <w:lang w:val="cs-CZ"/>
        </w:rPr>
        <w:t>Den výplaty úroků</w:t>
      </w:r>
      <w:r w:rsidRPr="005025CD">
        <w:rPr>
          <w:lang w:val="cs-CZ"/>
        </w:rPr>
        <w:fldChar w:fldCharType="begin"/>
      </w:r>
      <w:r w:rsidRPr="005025CD">
        <w:rPr>
          <w:lang w:val="cs-CZ"/>
        </w:rPr>
        <w:instrText xml:space="preserve"> XE "Den výplaty úroků" </w:instrText>
      </w:r>
      <w:r w:rsidRPr="005025CD">
        <w:rPr>
          <w:lang w:val="cs-CZ"/>
        </w:rPr>
        <w:fldChar w:fldCharType="end"/>
      </w:r>
      <w:r w:rsidRPr="005025CD">
        <w:rPr>
          <w:lang w:val="cs-CZ"/>
        </w:rPr>
        <w:t xml:space="preserve">), a to v souladu s článkem </w:t>
      </w:r>
      <w:r w:rsidRPr="005025CD">
        <w:rPr>
          <w:lang w:val="cs-CZ"/>
        </w:rPr>
        <w:fldChar w:fldCharType="begin"/>
      </w:r>
      <w:r w:rsidRPr="005025CD">
        <w:rPr>
          <w:lang w:val="cs-CZ"/>
        </w:rPr>
        <w:instrText xml:space="preserve"> REF _Ref508199565 \w \h </w:instrText>
      </w:r>
      <w:r>
        <w:rPr>
          <w:lang w:val="cs-CZ"/>
        </w:rPr>
        <w:instrText xml:space="preserve"> \* MERGEFORMAT </w:instrText>
      </w:r>
      <w:r w:rsidRPr="005025CD">
        <w:rPr>
          <w:lang w:val="cs-CZ"/>
        </w:rPr>
      </w:r>
      <w:r w:rsidRPr="005025CD">
        <w:rPr>
          <w:lang w:val="cs-CZ"/>
        </w:rPr>
        <w:fldChar w:fldCharType="separate"/>
      </w:r>
      <w:r w:rsidR="00723DD2">
        <w:rPr>
          <w:lang w:val="cs-CZ"/>
        </w:rPr>
        <w:t>6</w:t>
      </w:r>
      <w:r w:rsidRPr="005025CD">
        <w:rPr>
          <w:lang w:val="cs-CZ"/>
        </w:rPr>
        <w:fldChar w:fldCharType="end"/>
      </w:r>
      <w:r w:rsidRPr="005025CD">
        <w:rPr>
          <w:lang w:val="cs-CZ"/>
        </w:rPr>
        <w:t>. První platba úrokových výnosů bude provedena k </w:t>
      </w:r>
      <w:proofErr w:type="gramStart"/>
      <w:r>
        <w:rPr>
          <w:lang w:val="cs-CZ"/>
        </w:rPr>
        <w:t>15</w:t>
      </w:r>
      <w:proofErr w:type="gramEnd"/>
      <w:r w:rsidRPr="005025CD">
        <w:rPr>
          <w:lang w:val="cs-CZ"/>
        </w:rPr>
        <w:t>. červ</w:t>
      </w:r>
      <w:r>
        <w:rPr>
          <w:lang w:val="cs-CZ"/>
        </w:rPr>
        <w:t>ence</w:t>
      </w:r>
      <w:r w:rsidRPr="005025CD">
        <w:rPr>
          <w:lang w:val="cs-CZ"/>
        </w:rPr>
        <w:t xml:space="preserve"> 2021.</w:t>
      </w:r>
    </w:p>
    <w:p w:rsidR="00B90CA0" w:rsidRPr="005025CD" w:rsidRDefault="00B90CA0" w:rsidP="00B90CA0">
      <w:pPr>
        <w:pStyle w:val="Level2"/>
        <w:numPr>
          <w:ilvl w:val="1"/>
          <w:numId w:val="38"/>
        </w:numPr>
        <w:rPr>
          <w:rFonts w:hint="eastAsia"/>
          <w:lang w:val="cs-CZ"/>
        </w:rPr>
      </w:pPr>
      <w:bookmarkStart w:id="134" w:name="_Toc256000042"/>
      <w:bookmarkStart w:id="135" w:name="_Toc433993913"/>
      <w:bookmarkStart w:id="136" w:name="_Toc441155793"/>
      <w:bookmarkStart w:id="137" w:name="_Toc441755393"/>
      <w:bookmarkStart w:id="138" w:name="_Toc457259499"/>
      <w:bookmarkStart w:id="139" w:name="_Toc468696768"/>
      <w:bookmarkStart w:id="140" w:name="_Toc498617680"/>
      <w:bookmarkStart w:id="141" w:name="_Toc498944377"/>
      <w:r w:rsidRPr="005025CD">
        <w:rPr>
          <w:lang w:val="cs-CZ"/>
        </w:rPr>
        <w:t>Konec úročení</w:t>
      </w:r>
      <w:bookmarkEnd w:id="134"/>
      <w:bookmarkEnd w:id="135"/>
      <w:bookmarkEnd w:id="136"/>
      <w:bookmarkEnd w:id="137"/>
      <w:bookmarkEnd w:id="138"/>
      <w:bookmarkEnd w:id="139"/>
      <w:bookmarkEnd w:id="140"/>
      <w:bookmarkEnd w:id="141"/>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Kryté dluhopisy přestanou být úročeny Dnem konečné splatnosti nebo Dnem předčasné splatnosti, ledaže by po splnění všech podmínek a náležitostí splacení dlužné částky bylo Emitentem neoprávněně zadrženo nebo odmítnuto. V takovém případě bude nadále nabíhat úrok při úrokové sazbě stanovené podle </w:t>
      </w:r>
      <w:proofErr w:type="gramStart"/>
      <w:r w:rsidRPr="005025CD">
        <w:rPr>
          <w:lang w:val="cs-CZ"/>
        </w:rPr>
        <w:t xml:space="preserve">článku </w:t>
      </w:r>
      <w:r w:rsidRPr="005025CD">
        <w:rPr>
          <w:lang w:val="cs-CZ"/>
        </w:rPr>
        <w:fldChar w:fldCharType="begin"/>
      </w:r>
      <w:r w:rsidRPr="005025CD">
        <w:rPr>
          <w:lang w:val="cs-CZ"/>
        </w:rPr>
        <w:instrText xml:space="preserve"> REF _Ref426652142 \n \h  \* MERGEFORMAT </w:instrText>
      </w:r>
      <w:r w:rsidRPr="005025CD">
        <w:rPr>
          <w:lang w:val="cs-CZ"/>
        </w:rPr>
      </w:r>
      <w:r w:rsidRPr="005025CD">
        <w:rPr>
          <w:lang w:val="cs-CZ"/>
        </w:rPr>
        <w:fldChar w:fldCharType="separate"/>
      </w:r>
      <w:r w:rsidR="00723DD2">
        <w:rPr>
          <w:lang w:val="cs-CZ"/>
        </w:rPr>
        <w:t>4.1</w:t>
      </w:r>
      <w:r w:rsidRPr="005025CD">
        <w:rPr>
          <w:lang w:val="cs-CZ"/>
        </w:rPr>
        <w:fldChar w:fldCharType="end"/>
      </w:r>
      <w:r w:rsidRPr="005025CD">
        <w:rPr>
          <w:lang w:val="cs-CZ"/>
        </w:rPr>
        <w:t xml:space="preserve"> až</w:t>
      </w:r>
      <w:proofErr w:type="gramEnd"/>
      <w:r w:rsidRPr="005025CD">
        <w:rPr>
          <w:lang w:val="cs-CZ"/>
        </w:rPr>
        <w:t xml:space="preserve"> do dne, kdy Vlastníkům dluhopisů budou vyplaceny veškeré k tomu dni v souladu s Emisními podmínkami splatné částky.</w:t>
      </w:r>
    </w:p>
    <w:p w:rsidR="00B90CA0" w:rsidRPr="005025CD" w:rsidRDefault="00B90CA0" w:rsidP="00B90CA0">
      <w:pPr>
        <w:pStyle w:val="Level2"/>
        <w:numPr>
          <w:ilvl w:val="1"/>
          <w:numId w:val="38"/>
        </w:numPr>
        <w:rPr>
          <w:rFonts w:hint="eastAsia"/>
          <w:lang w:val="cs-CZ"/>
        </w:rPr>
      </w:pPr>
      <w:bookmarkStart w:id="142" w:name="_Toc256000043"/>
      <w:bookmarkStart w:id="143" w:name="_Ref426652179"/>
      <w:bookmarkStart w:id="144" w:name="_Toc433993914"/>
      <w:bookmarkStart w:id="145" w:name="_Toc441155794"/>
      <w:bookmarkStart w:id="146" w:name="_Toc441755394"/>
      <w:bookmarkStart w:id="147" w:name="_Toc457259500"/>
      <w:bookmarkStart w:id="148" w:name="_Toc468696769"/>
      <w:bookmarkStart w:id="149" w:name="_Toc498617681"/>
      <w:bookmarkStart w:id="150" w:name="_Toc498944378"/>
      <w:bookmarkStart w:id="151" w:name="_Ref506463907"/>
      <w:bookmarkStart w:id="152" w:name="_Ref506463916"/>
      <w:r w:rsidRPr="005025CD">
        <w:rPr>
          <w:lang w:val="cs-CZ"/>
        </w:rPr>
        <w:t>Konvence pro výpočet úroku</w:t>
      </w:r>
      <w:bookmarkEnd w:id="142"/>
      <w:bookmarkEnd w:id="143"/>
      <w:bookmarkEnd w:id="144"/>
      <w:bookmarkEnd w:id="145"/>
      <w:bookmarkEnd w:id="146"/>
      <w:bookmarkEnd w:id="147"/>
      <w:bookmarkEnd w:id="148"/>
      <w:bookmarkEnd w:id="149"/>
      <w:bookmarkEnd w:id="150"/>
      <w:bookmarkEnd w:id="151"/>
      <w:bookmarkEnd w:id="152"/>
    </w:p>
    <w:p w:rsidR="00B90CA0" w:rsidRPr="005025CD" w:rsidRDefault="00B90CA0" w:rsidP="00B90CA0">
      <w:pPr>
        <w:pStyle w:val="DocText"/>
        <w:tabs>
          <w:tab w:val="clear" w:pos="720"/>
        </w:tabs>
        <w:spacing w:line="260" w:lineRule="atLeast"/>
        <w:ind w:left="0" w:firstLine="0"/>
        <w:rPr>
          <w:lang w:val="cs-CZ"/>
        </w:rPr>
      </w:pPr>
      <w:r w:rsidRPr="005025CD">
        <w:rPr>
          <w:lang w:val="cs-CZ"/>
        </w:rPr>
        <w:t>Pro účely výpočtu úrokového výnosu příslušejícího ke Krytým dluhopisům za období kratší jednoho roku se použije úrokové konvence pro výpočet úroku „BCK standard 30E/360“ (tzn., že pro účely výpočtu úrokového výnosu se má za to, že jeden rok obsahuje 360 dnů rozdělených do 12 měsíců po 30 kalendářních dnech,</w:t>
      </w:r>
      <w:r w:rsidRPr="005025CD">
        <w:rPr>
          <w:rFonts w:ascii="Arial" w:hAnsi="Arial" w:cs="Arial"/>
          <w:lang w:val="cs-CZ"/>
        </w:rPr>
        <w:t xml:space="preserve"> </w:t>
      </w:r>
      <w:r w:rsidRPr="005025CD">
        <w:rPr>
          <w:lang w:val="cs-CZ"/>
        </w:rPr>
        <w:t>přičemž v případě neúplného měsíce se bude vycházet z počtu skutečně uplynulých dní).</w:t>
      </w:r>
    </w:p>
    <w:p w:rsidR="00B90CA0" w:rsidRPr="005025CD" w:rsidRDefault="00B90CA0" w:rsidP="00B90CA0">
      <w:pPr>
        <w:pStyle w:val="Level2"/>
        <w:numPr>
          <w:ilvl w:val="1"/>
          <w:numId w:val="38"/>
        </w:numPr>
        <w:rPr>
          <w:rFonts w:ascii="Times New Roman" w:hAnsi="Times New Roman"/>
          <w:lang w:val="cs-CZ"/>
        </w:rPr>
      </w:pPr>
      <w:bookmarkStart w:id="153" w:name="_Toc256000044"/>
      <w:bookmarkStart w:id="154" w:name="_Ref426652194"/>
      <w:bookmarkStart w:id="155" w:name="_Toc433993915"/>
      <w:bookmarkStart w:id="156" w:name="_Toc441155795"/>
      <w:bookmarkStart w:id="157" w:name="_Toc441755395"/>
      <w:bookmarkStart w:id="158" w:name="_Toc457259501"/>
      <w:bookmarkStart w:id="159" w:name="_Ref457550005"/>
      <w:bookmarkStart w:id="160" w:name="_Toc468696770"/>
      <w:bookmarkStart w:id="161" w:name="_Toc498617682"/>
      <w:bookmarkStart w:id="162" w:name="_Toc498944379"/>
      <w:r w:rsidRPr="005025CD">
        <w:rPr>
          <w:rFonts w:ascii="Times New Roman" w:hAnsi="Times New Roman"/>
          <w:lang w:val="cs-CZ"/>
        </w:rPr>
        <w:t>Stanovení úrokového výnosu</w:t>
      </w:r>
      <w:bookmarkEnd w:id="153"/>
      <w:bookmarkEnd w:id="154"/>
      <w:bookmarkEnd w:id="155"/>
      <w:bookmarkEnd w:id="156"/>
      <w:bookmarkEnd w:id="157"/>
      <w:bookmarkEnd w:id="158"/>
      <w:bookmarkEnd w:id="159"/>
      <w:bookmarkEnd w:id="160"/>
      <w:bookmarkEnd w:id="161"/>
      <w:bookmarkEnd w:id="162"/>
    </w:p>
    <w:p w:rsidR="00B90CA0" w:rsidRPr="005025CD" w:rsidRDefault="00B90CA0" w:rsidP="00B90CA0">
      <w:pPr>
        <w:pStyle w:val="DocText"/>
        <w:tabs>
          <w:tab w:val="clear" w:pos="720"/>
        </w:tabs>
        <w:spacing w:line="260" w:lineRule="atLeast"/>
        <w:ind w:left="0" w:firstLine="0"/>
        <w:rPr>
          <w:lang w:val="cs-CZ"/>
        </w:rPr>
      </w:pPr>
      <w:r w:rsidRPr="005025CD">
        <w:rPr>
          <w:lang w:val="cs-CZ"/>
        </w:rPr>
        <w:t>Částka úrokového výnosu příslušející k jednomu Krytému dluhopisu za jakékoli období kratší jednoho běžného roku se stanoví jako násobek nesplacené jmenovité hodnoty takového Krytého dluhopisu, příslušné úrokové sazby (vyjádřené desetinným číslem) a příslušného zlomku dní vypočteného podle konvence pro výpočet úroku uvedené v </w:t>
      </w:r>
      <w:proofErr w:type="gramStart"/>
      <w:r w:rsidRPr="005025CD">
        <w:rPr>
          <w:lang w:val="cs-CZ"/>
        </w:rPr>
        <w:t xml:space="preserve">článku </w:t>
      </w:r>
      <w:r w:rsidRPr="005025CD">
        <w:rPr>
          <w:lang w:val="cs-CZ"/>
        </w:rPr>
        <w:fldChar w:fldCharType="begin"/>
      </w:r>
      <w:r w:rsidRPr="005025CD">
        <w:rPr>
          <w:lang w:val="cs-CZ"/>
        </w:rPr>
        <w:instrText xml:space="preserve"> REF _Ref426652179 \n \h  \* MERGEFORMAT </w:instrText>
      </w:r>
      <w:r w:rsidRPr="005025CD">
        <w:rPr>
          <w:lang w:val="cs-CZ"/>
        </w:rPr>
      </w:r>
      <w:r w:rsidRPr="005025CD">
        <w:rPr>
          <w:lang w:val="cs-CZ"/>
        </w:rPr>
        <w:fldChar w:fldCharType="separate"/>
      </w:r>
      <w:r w:rsidR="00723DD2">
        <w:rPr>
          <w:lang w:val="cs-CZ"/>
        </w:rPr>
        <w:t>4.3</w:t>
      </w:r>
      <w:r w:rsidRPr="005025CD">
        <w:rPr>
          <w:lang w:val="cs-CZ"/>
        </w:rPr>
        <w:fldChar w:fldCharType="end"/>
      </w:r>
      <w:r w:rsidRPr="005025CD">
        <w:rPr>
          <w:lang w:val="cs-CZ"/>
        </w:rPr>
        <w:t>.</w:t>
      </w:r>
      <w:proofErr w:type="gramEnd"/>
      <w:r w:rsidRPr="005025CD">
        <w:rPr>
          <w:lang w:val="cs-CZ"/>
        </w:rPr>
        <w:t xml:space="preserve"> Celková částka úrokového výnosu a jakákoliv další částka splatná dle těchto Emisních podmínek příslušející k jednomu Krytému dluhopisu vypočtená podle tohoto </w:t>
      </w:r>
      <w:proofErr w:type="gramStart"/>
      <w:r w:rsidRPr="005025CD">
        <w:rPr>
          <w:lang w:val="cs-CZ"/>
        </w:rPr>
        <w:t xml:space="preserve">článku </w:t>
      </w:r>
      <w:r w:rsidRPr="005025CD">
        <w:rPr>
          <w:lang w:val="cs-CZ"/>
        </w:rPr>
        <w:fldChar w:fldCharType="begin"/>
      </w:r>
      <w:r w:rsidRPr="005025CD">
        <w:rPr>
          <w:lang w:val="cs-CZ"/>
        </w:rPr>
        <w:instrText xml:space="preserve"> REF _Ref457550005 \r \h  \* MERGEFORMAT </w:instrText>
      </w:r>
      <w:r w:rsidRPr="005025CD">
        <w:rPr>
          <w:lang w:val="cs-CZ"/>
        </w:rPr>
      </w:r>
      <w:r w:rsidRPr="005025CD">
        <w:rPr>
          <w:lang w:val="cs-CZ"/>
        </w:rPr>
        <w:fldChar w:fldCharType="separate"/>
      </w:r>
      <w:r w:rsidR="00723DD2">
        <w:rPr>
          <w:lang w:val="cs-CZ"/>
        </w:rPr>
        <w:t>4.4</w:t>
      </w:r>
      <w:r w:rsidRPr="005025CD">
        <w:rPr>
          <w:lang w:val="cs-CZ"/>
        </w:rPr>
        <w:fldChar w:fldCharType="end"/>
      </w:r>
      <w:r w:rsidRPr="005025CD">
        <w:rPr>
          <w:lang w:val="cs-CZ"/>
        </w:rPr>
        <w:t xml:space="preserve"> bude</w:t>
      </w:r>
      <w:proofErr w:type="gramEnd"/>
      <w:r w:rsidRPr="005025CD">
        <w:rPr>
          <w:lang w:val="cs-CZ"/>
        </w:rPr>
        <w:t xml:space="preserve"> Emitentem zaokrouhlena na základě matematických pravidel na dvě desetinná místa a oznámena bez zbytečného odkladu Vlastníkům dluhopisů v souladu s článkem </w:t>
      </w:r>
      <w:r w:rsidRPr="005025CD">
        <w:rPr>
          <w:lang w:val="cs-CZ"/>
        </w:rPr>
        <w:fldChar w:fldCharType="begin"/>
      </w:r>
      <w:r w:rsidRPr="005025CD">
        <w:rPr>
          <w:lang w:val="cs-CZ"/>
        </w:rPr>
        <w:instrText xml:space="preserve"> REF _Ref457487943 \r \h  \* MERGEFORMAT </w:instrText>
      </w:r>
      <w:r w:rsidRPr="005025CD">
        <w:rPr>
          <w:lang w:val="cs-CZ"/>
        </w:rPr>
      </w:r>
      <w:r w:rsidRPr="005025CD">
        <w:rPr>
          <w:lang w:val="cs-CZ"/>
        </w:rPr>
        <w:fldChar w:fldCharType="separate"/>
      </w:r>
      <w:r w:rsidR="00723DD2">
        <w:rPr>
          <w:lang w:val="cs-CZ"/>
        </w:rPr>
        <w:t>11</w:t>
      </w:r>
      <w:r w:rsidRPr="005025CD">
        <w:rPr>
          <w:lang w:val="cs-CZ"/>
        </w:rPr>
        <w:fldChar w:fldCharType="end"/>
      </w:r>
      <w:r w:rsidRPr="005025CD">
        <w:rPr>
          <w:lang w:val="cs-CZ"/>
        </w:rPr>
        <w:t>.</w:t>
      </w:r>
    </w:p>
    <w:p w:rsidR="00B90CA0" w:rsidRPr="005025CD" w:rsidRDefault="00B90CA0" w:rsidP="00B90CA0">
      <w:pPr>
        <w:pStyle w:val="Level1"/>
        <w:numPr>
          <w:ilvl w:val="0"/>
          <w:numId w:val="38"/>
        </w:numPr>
        <w:rPr>
          <w:rFonts w:hint="eastAsia"/>
          <w:u w:val="single"/>
          <w:lang w:val="cs-CZ"/>
        </w:rPr>
      </w:pPr>
      <w:bookmarkStart w:id="163" w:name="_Toc256000045"/>
      <w:bookmarkStart w:id="164" w:name="_Toc373436375"/>
      <w:bookmarkStart w:id="165" w:name="_Ref426652334"/>
      <w:bookmarkStart w:id="166" w:name="_Toc433993916"/>
      <w:bookmarkStart w:id="167" w:name="_Toc441155796"/>
      <w:bookmarkStart w:id="168" w:name="_Toc441755396"/>
      <w:bookmarkStart w:id="169" w:name="_Toc457259502"/>
      <w:bookmarkStart w:id="170" w:name="_Toc468696771"/>
      <w:bookmarkStart w:id="171" w:name="_Toc507159361"/>
      <w:bookmarkStart w:id="172" w:name="_Ref508200280"/>
      <w:bookmarkStart w:id="173" w:name="_Toc10478026"/>
      <w:r w:rsidRPr="005025CD">
        <w:rPr>
          <w:u w:val="single"/>
          <w:lang w:val="cs-CZ"/>
        </w:rPr>
        <w:t xml:space="preserve">Splacení a </w:t>
      </w:r>
      <w:bookmarkEnd w:id="163"/>
      <w:bookmarkEnd w:id="164"/>
      <w:bookmarkEnd w:id="165"/>
      <w:bookmarkEnd w:id="166"/>
      <w:bookmarkEnd w:id="167"/>
      <w:bookmarkEnd w:id="168"/>
      <w:bookmarkEnd w:id="169"/>
      <w:bookmarkEnd w:id="170"/>
      <w:bookmarkEnd w:id="171"/>
      <w:bookmarkEnd w:id="172"/>
      <w:r w:rsidRPr="005025CD">
        <w:rPr>
          <w:u w:val="single"/>
          <w:lang w:val="cs-CZ"/>
        </w:rPr>
        <w:t xml:space="preserve">odkoupení </w:t>
      </w:r>
      <w:bookmarkEnd w:id="173"/>
      <w:r w:rsidRPr="005025CD">
        <w:rPr>
          <w:u w:val="single"/>
          <w:lang w:val="cs-CZ"/>
        </w:rPr>
        <w:t>krytých dluhopisů</w:t>
      </w:r>
    </w:p>
    <w:p w:rsidR="00B90CA0" w:rsidRPr="005025CD" w:rsidRDefault="00B90CA0" w:rsidP="00B90CA0">
      <w:pPr>
        <w:pStyle w:val="Level2"/>
        <w:numPr>
          <w:ilvl w:val="1"/>
          <w:numId w:val="38"/>
        </w:numPr>
        <w:rPr>
          <w:rFonts w:hint="eastAsia"/>
          <w:lang w:val="cs-CZ"/>
        </w:rPr>
      </w:pPr>
      <w:bookmarkStart w:id="174" w:name="_Toc256000046"/>
      <w:bookmarkStart w:id="175" w:name="_Ref426651899"/>
      <w:bookmarkStart w:id="176" w:name="_Toc433993917"/>
      <w:bookmarkStart w:id="177" w:name="_Toc441155797"/>
      <w:bookmarkStart w:id="178" w:name="_Toc441755397"/>
      <w:bookmarkStart w:id="179" w:name="_Toc457259503"/>
      <w:bookmarkStart w:id="180" w:name="_Toc468696772"/>
      <w:bookmarkStart w:id="181" w:name="_Toc507159362"/>
      <w:bookmarkStart w:id="182" w:name="_Ref508199611"/>
      <w:bookmarkStart w:id="183" w:name="_Ref508199822"/>
      <w:bookmarkStart w:id="184" w:name="_Ref508199866"/>
      <w:bookmarkStart w:id="185" w:name="_Ref508199918"/>
      <w:bookmarkStart w:id="186" w:name="_Ref508199965"/>
      <w:bookmarkStart w:id="187" w:name="_Ref508199982"/>
      <w:bookmarkStart w:id="188" w:name="_Ref508200023"/>
      <w:bookmarkStart w:id="189" w:name="_Ref508200037"/>
      <w:bookmarkStart w:id="190" w:name="_Ref508200098"/>
      <w:bookmarkStart w:id="191" w:name="_Ref508200117"/>
      <w:bookmarkStart w:id="192" w:name="_Ref508201488"/>
      <w:r w:rsidRPr="005025CD">
        <w:rPr>
          <w:lang w:val="cs-CZ"/>
        </w:rPr>
        <w:t>Konečná splatnost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B90CA0" w:rsidRPr="005025CD" w:rsidRDefault="00B90CA0" w:rsidP="00B90CA0">
      <w:pPr>
        <w:pStyle w:val="DocText"/>
        <w:numPr>
          <w:ilvl w:val="0"/>
          <w:numId w:val="42"/>
        </w:numPr>
        <w:spacing w:line="260" w:lineRule="atLeast"/>
        <w:rPr>
          <w:lang w:val="cs-CZ"/>
        </w:rPr>
      </w:pPr>
      <w:r w:rsidRPr="005025CD">
        <w:rPr>
          <w:lang w:val="cs-CZ"/>
        </w:rPr>
        <w:t xml:space="preserve">Pokud nedojde k předčasnému splacení Krytých dluhopisů nebo k odkoupení Krytých dluhopisů Emitentem a jejich zániku, jak je uvedeno níže, bude jmenovitá hodnota Krytého dluhopisu splacena jednorázově ke Dni konečné splatnosti. </w:t>
      </w:r>
    </w:p>
    <w:p w:rsidR="00B90CA0" w:rsidRPr="005025CD" w:rsidRDefault="00B90CA0" w:rsidP="00B90CA0">
      <w:pPr>
        <w:pStyle w:val="Level2"/>
        <w:numPr>
          <w:ilvl w:val="1"/>
          <w:numId w:val="38"/>
        </w:numPr>
        <w:rPr>
          <w:rFonts w:hint="eastAsia"/>
          <w:lang w:val="cs-CZ"/>
        </w:rPr>
      </w:pPr>
      <w:bookmarkStart w:id="193" w:name="_Toc256000047"/>
      <w:bookmarkStart w:id="194" w:name="_Toc433993918"/>
      <w:bookmarkStart w:id="195" w:name="_Toc441155798"/>
      <w:bookmarkStart w:id="196" w:name="_Toc441755398"/>
      <w:bookmarkStart w:id="197" w:name="_Toc457259504"/>
      <w:bookmarkStart w:id="198" w:name="_Toc468696773"/>
      <w:bookmarkStart w:id="199" w:name="_Toc507159363"/>
      <w:r w:rsidRPr="005025CD">
        <w:rPr>
          <w:lang w:val="cs-CZ"/>
        </w:rPr>
        <w:t xml:space="preserve">Odkoupení </w:t>
      </w:r>
      <w:bookmarkEnd w:id="193"/>
      <w:bookmarkEnd w:id="194"/>
      <w:bookmarkEnd w:id="195"/>
      <w:bookmarkEnd w:id="196"/>
      <w:bookmarkEnd w:id="197"/>
      <w:bookmarkEnd w:id="198"/>
      <w:bookmarkEnd w:id="199"/>
      <w:r w:rsidRPr="005025CD">
        <w:rPr>
          <w:lang w:val="cs-CZ"/>
        </w:rPr>
        <w:t>krytých dluhopisů</w:t>
      </w:r>
    </w:p>
    <w:p w:rsidR="00B90CA0" w:rsidRPr="005025CD" w:rsidRDefault="00B90CA0" w:rsidP="00B90CA0">
      <w:pPr>
        <w:pStyle w:val="DocText"/>
        <w:tabs>
          <w:tab w:val="clear" w:pos="720"/>
        </w:tabs>
        <w:spacing w:line="260" w:lineRule="atLeast"/>
        <w:ind w:left="0" w:firstLine="0"/>
        <w:rPr>
          <w:lang w:val="cs-CZ"/>
        </w:rPr>
      </w:pPr>
      <w:r w:rsidRPr="005025CD">
        <w:rPr>
          <w:lang w:val="cs-CZ"/>
        </w:rPr>
        <w:t>Emitent může Kryté dluhopisy kdykoli odkoupit na trhu nebo jinak za jakoukoli cenu.</w:t>
      </w:r>
    </w:p>
    <w:p w:rsidR="00B90CA0" w:rsidRPr="005025CD" w:rsidRDefault="00B90CA0" w:rsidP="00B90CA0">
      <w:pPr>
        <w:pStyle w:val="Level2"/>
        <w:numPr>
          <w:ilvl w:val="1"/>
          <w:numId w:val="38"/>
        </w:numPr>
        <w:rPr>
          <w:rFonts w:hint="eastAsia"/>
          <w:lang w:val="cs-CZ"/>
        </w:rPr>
      </w:pPr>
      <w:bookmarkStart w:id="200" w:name="_Toc256000048"/>
      <w:bookmarkStart w:id="201" w:name="_Ref426652922"/>
      <w:bookmarkStart w:id="202" w:name="_Ref426653105"/>
      <w:bookmarkStart w:id="203" w:name="_Toc433993919"/>
      <w:bookmarkStart w:id="204" w:name="_Toc441155799"/>
      <w:bookmarkStart w:id="205" w:name="_Toc441755399"/>
      <w:bookmarkStart w:id="206" w:name="_Toc457259505"/>
      <w:bookmarkStart w:id="207" w:name="_Toc468696774"/>
      <w:bookmarkStart w:id="208" w:name="_Toc507159364"/>
      <w:r w:rsidRPr="005025CD">
        <w:rPr>
          <w:lang w:val="cs-CZ"/>
        </w:rPr>
        <w:t xml:space="preserve">Zánik </w:t>
      </w:r>
      <w:bookmarkEnd w:id="200"/>
      <w:bookmarkEnd w:id="201"/>
      <w:bookmarkEnd w:id="202"/>
      <w:bookmarkEnd w:id="203"/>
      <w:bookmarkEnd w:id="204"/>
      <w:bookmarkEnd w:id="205"/>
      <w:bookmarkEnd w:id="206"/>
      <w:bookmarkEnd w:id="207"/>
      <w:bookmarkEnd w:id="208"/>
      <w:r w:rsidRPr="005025CD">
        <w:rPr>
          <w:lang w:val="cs-CZ"/>
        </w:rPr>
        <w:t>krytých dluhopisů</w:t>
      </w:r>
    </w:p>
    <w:p w:rsidR="00B90CA0" w:rsidRPr="005025CD" w:rsidRDefault="00B90CA0" w:rsidP="00B90CA0">
      <w:pPr>
        <w:pStyle w:val="DocText"/>
        <w:tabs>
          <w:tab w:val="clear" w:pos="720"/>
        </w:tabs>
        <w:spacing w:line="260" w:lineRule="atLeast"/>
        <w:ind w:left="0" w:firstLine="0"/>
        <w:rPr>
          <w:lang w:val="cs-CZ"/>
        </w:rPr>
      </w:pPr>
      <w:r w:rsidRPr="005025CD">
        <w:rPr>
          <w:lang w:val="cs-CZ"/>
        </w:rPr>
        <w:t>Kryté dluhopisy odkoupené Emitentem nezanikají, pokud Emitent nerozhodne jinak. Nerozhodne-li Emitent o zániku jím odkoupených Krytých dluhopisů, může tyto Kryté dluhopisy převádět podle vlastního uvážení.</w:t>
      </w:r>
    </w:p>
    <w:p w:rsidR="00B90CA0" w:rsidRPr="005025CD" w:rsidRDefault="00B90CA0" w:rsidP="00B90CA0">
      <w:pPr>
        <w:pStyle w:val="Level2"/>
        <w:numPr>
          <w:ilvl w:val="1"/>
          <w:numId w:val="38"/>
        </w:numPr>
        <w:rPr>
          <w:rFonts w:hint="eastAsia"/>
          <w:lang w:val="cs-CZ"/>
        </w:rPr>
      </w:pPr>
      <w:bookmarkStart w:id="209" w:name="_Toc256000049"/>
      <w:bookmarkStart w:id="210" w:name="_Toc433993920"/>
      <w:bookmarkStart w:id="211" w:name="_Toc441155800"/>
      <w:bookmarkStart w:id="212" w:name="_Toc441755400"/>
      <w:bookmarkStart w:id="213" w:name="_Toc457259506"/>
      <w:bookmarkStart w:id="214" w:name="_Toc468696775"/>
      <w:bookmarkStart w:id="215" w:name="_Toc507159365"/>
      <w:bookmarkStart w:id="216" w:name="_Ref508199297"/>
      <w:r w:rsidRPr="005025CD">
        <w:rPr>
          <w:lang w:val="cs-CZ"/>
        </w:rPr>
        <w:lastRenderedPageBreak/>
        <w:t xml:space="preserve">Předčasné splacení z rozhodnutí </w:t>
      </w:r>
      <w:bookmarkEnd w:id="209"/>
      <w:bookmarkEnd w:id="210"/>
      <w:bookmarkEnd w:id="211"/>
      <w:bookmarkEnd w:id="212"/>
      <w:bookmarkEnd w:id="213"/>
      <w:bookmarkEnd w:id="214"/>
      <w:bookmarkEnd w:id="215"/>
      <w:bookmarkEnd w:id="216"/>
      <w:r w:rsidRPr="005025CD">
        <w:rPr>
          <w:lang w:val="cs-CZ"/>
        </w:rPr>
        <w:t>emitenta</w:t>
      </w:r>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Emitent má právo kdykoliv předčasně splatit všechny dosud nesplacené Kryté dluhopisy (částečně nebo úplně), přičemž toto právo může uplatnit pouze, pokud to oznámí Vlastníkům dluhopisů v souladu s článkem </w:t>
      </w:r>
      <w:r w:rsidRPr="005025CD">
        <w:rPr>
          <w:lang w:val="cs-CZ"/>
        </w:rPr>
        <w:fldChar w:fldCharType="begin"/>
      </w:r>
      <w:r w:rsidRPr="005025CD">
        <w:rPr>
          <w:lang w:val="cs-CZ"/>
        </w:rPr>
        <w:instrText xml:space="preserve"> REF _Ref508200074 \w \h </w:instrText>
      </w:r>
      <w:r>
        <w:rPr>
          <w:lang w:val="cs-CZ"/>
        </w:rPr>
        <w:instrText xml:space="preserve"> \* MERGEFORMAT </w:instrText>
      </w:r>
      <w:r w:rsidRPr="005025CD">
        <w:rPr>
          <w:lang w:val="cs-CZ"/>
        </w:rPr>
      </w:r>
      <w:r w:rsidRPr="005025CD">
        <w:rPr>
          <w:lang w:val="cs-CZ"/>
        </w:rPr>
        <w:fldChar w:fldCharType="separate"/>
      </w:r>
      <w:r w:rsidR="00723DD2">
        <w:rPr>
          <w:lang w:val="cs-CZ"/>
        </w:rPr>
        <w:t>11</w:t>
      </w:r>
      <w:r w:rsidRPr="005025CD">
        <w:rPr>
          <w:lang w:val="cs-CZ"/>
        </w:rPr>
        <w:fldChar w:fldCharType="end"/>
      </w:r>
      <w:r w:rsidRPr="005025CD">
        <w:rPr>
          <w:lang w:val="cs-CZ"/>
        </w:rPr>
        <w:t xml:space="preserve"> nejpozději </w:t>
      </w:r>
      <w:r>
        <w:rPr>
          <w:lang w:val="cs-CZ"/>
        </w:rPr>
        <w:t>45</w:t>
      </w:r>
      <w:r w:rsidRPr="005025CD">
        <w:rPr>
          <w:lang w:val="cs-CZ"/>
        </w:rPr>
        <w:t xml:space="preserve"> dní před příslušným dnem předčasné splatnosti (</w:t>
      </w:r>
      <w:r w:rsidRPr="005025CD">
        <w:rPr>
          <w:b/>
          <w:lang w:val="cs-CZ"/>
        </w:rPr>
        <w:t>Den předčasné splatnosti</w:t>
      </w:r>
      <w:r w:rsidRPr="005025CD">
        <w:rPr>
          <w:lang w:val="cs-CZ"/>
        </w:rPr>
        <w:fldChar w:fldCharType="begin"/>
      </w:r>
      <w:r w:rsidRPr="005025CD">
        <w:rPr>
          <w:lang w:val="cs-CZ"/>
        </w:rPr>
        <w:instrText xml:space="preserve"> XE "Datum předčasné splatnosti" </w:instrText>
      </w:r>
      <w:r w:rsidRPr="005025CD">
        <w:rPr>
          <w:lang w:val="cs-CZ"/>
        </w:rPr>
        <w:fldChar w:fldCharType="end"/>
      </w:r>
      <w:r w:rsidRPr="005025CD">
        <w:rPr>
          <w:lang w:val="cs-CZ"/>
        </w:rPr>
        <w:t>). Emitent v takovém případě splatí celou nesplacenou jmenovitou hodnotu Krytých dluhopisů, nebo její část a k tomu příslušný úrokový výnos připadající na výši předčasně splácené jmenovité hodnoty Krytých dluhopisů ke Dni předčasné splatnosti.</w:t>
      </w:r>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Oznámení o předčasném splacení z rozhodnutí Emitenta podle tohoto </w:t>
      </w:r>
      <w:proofErr w:type="gramStart"/>
      <w:r w:rsidRPr="005025CD">
        <w:rPr>
          <w:lang w:val="cs-CZ"/>
        </w:rPr>
        <w:t xml:space="preserve">článku </w:t>
      </w:r>
      <w:r w:rsidRPr="005025CD">
        <w:rPr>
          <w:lang w:val="cs-CZ"/>
        </w:rPr>
        <w:fldChar w:fldCharType="begin"/>
      </w:r>
      <w:r w:rsidRPr="005025CD">
        <w:rPr>
          <w:lang w:val="cs-CZ"/>
        </w:rPr>
        <w:instrText xml:space="preserve"> REF _Ref508199297 \w \h </w:instrText>
      </w:r>
      <w:r>
        <w:rPr>
          <w:lang w:val="cs-CZ"/>
        </w:rPr>
        <w:instrText xml:space="preserve"> \* MERGEFORMAT </w:instrText>
      </w:r>
      <w:r w:rsidRPr="005025CD">
        <w:rPr>
          <w:lang w:val="cs-CZ"/>
        </w:rPr>
      </w:r>
      <w:r w:rsidRPr="005025CD">
        <w:rPr>
          <w:lang w:val="cs-CZ"/>
        </w:rPr>
        <w:fldChar w:fldCharType="separate"/>
      </w:r>
      <w:r w:rsidR="00723DD2">
        <w:rPr>
          <w:lang w:val="cs-CZ"/>
        </w:rPr>
        <w:t>5.4</w:t>
      </w:r>
      <w:r w:rsidRPr="005025CD">
        <w:rPr>
          <w:lang w:val="cs-CZ"/>
        </w:rPr>
        <w:fldChar w:fldCharType="end"/>
      </w:r>
      <w:r w:rsidRPr="005025CD">
        <w:rPr>
          <w:lang w:val="cs-CZ"/>
        </w:rPr>
        <w:t xml:space="preserve"> je</w:t>
      </w:r>
      <w:proofErr w:type="gramEnd"/>
      <w:r w:rsidRPr="005025CD">
        <w:rPr>
          <w:lang w:val="cs-CZ"/>
        </w:rPr>
        <w:t xml:space="preserve"> neodvolatelné a zavazuje Emitenta předčasně splatit Kryté dluhopisy v souladu s ustanoveními tohoto článku </w:t>
      </w:r>
      <w:r w:rsidRPr="005025CD">
        <w:rPr>
          <w:lang w:val="cs-CZ"/>
        </w:rPr>
        <w:fldChar w:fldCharType="begin"/>
      </w:r>
      <w:r w:rsidRPr="005025CD">
        <w:rPr>
          <w:lang w:val="cs-CZ"/>
        </w:rPr>
        <w:instrText xml:space="preserve"> REF _Ref508199297 \w \h </w:instrText>
      </w:r>
      <w:r>
        <w:rPr>
          <w:lang w:val="cs-CZ"/>
        </w:rPr>
        <w:instrText xml:space="preserve"> \* MERGEFORMAT </w:instrText>
      </w:r>
      <w:r w:rsidRPr="005025CD">
        <w:rPr>
          <w:lang w:val="cs-CZ"/>
        </w:rPr>
      </w:r>
      <w:r w:rsidRPr="005025CD">
        <w:rPr>
          <w:lang w:val="cs-CZ"/>
        </w:rPr>
        <w:fldChar w:fldCharType="separate"/>
      </w:r>
      <w:r w:rsidR="00723DD2">
        <w:rPr>
          <w:lang w:val="cs-CZ"/>
        </w:rPr>
        <w:t>5.4</w:t>
      </w:r>
      <w:r w:rsidRPr="005025CD">
        <w:rPr>
          <w:lang w:val="cs-CZ"/>
        </w:rPr>
        <w:fldChar w:fldCharType="end"/>
      </w:r>
      <w:r w:rsidRPr="005025CD">
        <w:rPr>
          <w:lang w:val="cs-CZ"/>
        </w:rPr>
        <w:t>.</w:t>
      </w:r>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Předčasné částečné splacení Krytých dluhopisů neomezuje Emitenta provést další předčasné splacení Krytých dluhopisů v souladu s tímto </w:t>
      </w:r>
      <w:proofErr w:type="gramStart"/>
      <w:r w:rsidRPr="005025CD">
        <w:rPr>
          <w:lang w:val="cs-CZ"/>
        </w:rPr>
        <w:t xml:space="preserve">článkem </w:t>
      </w:r>
      <w:r w:rsidRPr="005025CD">
        <w:rPr>
          <w:lang w:val="cs-CZ"/>
        </w:rPr>
        <w:fldChar w:fldCharType="begin"/>
      </w:r>
      <w:r w:rsidRPr="005025CD">
        <w:rPr>
          <w:lang w:val="cs-CZ"/>
        </w:rPr>
        <w:instrText xml:space="preserve"> REF _Ref508199297 \w \h </w:instrText>
      </w:r>
      <w:r>
        <w:rPr>
          <w:lang w:val="cs-CZ"/>
        </w:rPr>
        <w:instrText xml:space="preserve"> \* MERGEFORMAT </w:instrText>
      </w:r>
      <w:r w:rsidRPr="005025CD">
        <w:rPr>
          <w:lang w:val="cs-CZ"/>
        </w:rPr>
      </w:r>
      <w:r w:rsidRPr="005025CD">
        <w:rPr>
          <w:lang w:val="cs-CZ"/>
        </w:rPr>
        <w:fldChar w:fldCharType="separate"/>
      </w:r>
      <w:r w:rsidR="00723DD2">
        <w:rPr>
          <w:lang w:val="cs-CZ"/>
        </w:rPr>
        <w:t>5.4</w:t>
      </w:r>
      <w:r w:rsidRPr="005025CD">
        <w:rPr>
          <w:lang w:val="cs-CZ"/>
        </w:rPr>
        <w:fldChar w:fldCharType="end"/>
      </w:r>
      <w:r w:rsidRPr="005025CD">
        <w:rPr>
          <w:lang w:val="cs-CZ"/>
        </w:rPr>
        <w:t>.</w:t>
      </w:r>
      <w:proofErr w:type="gramEnd"/>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Pro předčasné splacení Krytých dluhopisů podle tohoto </w:t>
      </w:r>
      <w:proofErr w:type="gramStart"/>
      <w:r w:rsidRPr="005025CD">
        <w:rPr>
          <w:lang w:val="cs-CZ"/>
        </w:rPr>
        <w:t xml:space="preserve">článku </w:t>
      </w:r>
      <w:r w:rsidRPr="005025CD">
        <w:rPr>
          <w:lang w:val="cs-CZ"/>
        </w:rPr>
        <w:fldChar w:fldCharType="begin"/>
      </w:r>
      <w:r w:rsidRPr="005025CD">
        <w:rPr>
          <w:lang w:val="cs-CZ"/>
        </w:rPr>
        <w:instrText xml:space="preserve"> REF _Ref508199297 \w \h </w:instrText>
      </w:r>
      <w:r>
        <w:rPr>
          <w:lang w:val="cs-CZ"/>
        </w:rPr>
        <w:instrText xml:space="preserve"> \* MERGEFORMAT </w:instrText>
      </w:r>
      <w:r w:rsidRPr="005025CD">
        <w:rPr>
          <w:lang w:val="cs-CZ"/>
        </w:rPr>
      </w:r>
      <w:r w:rsidRPr="005025CD">
        <w:rPr>
          <w:lang w:val="cs-CZ"/>
        </w:rPr>
        <w:fldChar w:fldCharType="separate"/>
      </w:r>
      <w:r w:rsidR="00723DD2">
        <w:rPr>
          <w:lang w:val="cs-CZ"/>
        </w:rPr>
        <w:t>5.4</w:t>
      </w:r>
      <w:r w:rsidRPr="005025CD">
        <w:rPr>
          <w:lang w:val="cs-CZ"/>
        </w:rPr>
        <w:fldChar w:fldCharType="end"/>
      </w:r>
      <w:r w:rsidRPr="005025CD">
        <w:rPr>
          <w:lang w:val="cs-CZ"/>
        </w:rPr>
        <w:t xml:space="preserve"> se</w:t>
      </w:r>
      <w:proofErr w:type="gramEnd"/>
      <w:r w:rsidRPr="005025CD">
        <w:rPr>
          <w:lang w:val="cs-CZ"/>
        </w:rPr>
        <w:t xml:space="preserve"> jinak přiměřeně použijí ustanovení článku </w:t>
      </w:r>
      <w:r w:rsidRPr="005025CD">
        <w:rPr>
          <w:lang w:val="cs-CZ"/>
        </w:rPr>
        <w:fldChar w:fldCharType="begin"/>
      </w:r>
      <w:r w:rsidRPr="005025CD">
        <w:rPr>
          <w:lang w:val="cs-CZ"/>
        </w:rPr>
        <w:instrText xml:space="preserve"> REF _Ref508200192 \w \h </w:instrText>
      </w:r>
      <w:r>
        <w:rPr>
          <w:lang w:val="cs-CZ"/>
        </w:rPr>
        <w:instrText xml:space="preserve"> \* MERGEFORMAT </w:instrText>
      </w:r>
      <w:r w:rsidRPr="005025CD">
        <w:rPr>
          <w:lang w:val="cs-CZ"/>
        </w:rPr>
      </w:r>
      <w:r w:rsidRPr="005025CD">
        <w:rPr>
          <w:lang w:val="cs-CZ"/>
        </w:rPr>
        <w:fldChar w:fldCharType="separate"/>
      </w:r>
      <w:r w:rsidR="00723DD2">
        <w:rPr>
          <w:lang w:val="cs-CZ"/>
        </w:rPr>
        <w:t>6</w:t>
      </w:r>
      <w:r w:rsidRPr="005025CD">
        <w:rPr>
          <w:lang w:val="cs-CZ"/>
        </w:rPr>
        <w:fldChar w:fldCharType="end"/>
      </w:r>
      <w:r w:rsidRPr="005025CD">
        <w:rPr>
          <w:lang w:val="cs-CZ"/>
        </w:rPr>
        <w:t>.</w:t>
      </w:r>
    </w:p>
    <w:p w:rsidR="00B90CA0" w:rsidRPr="005025CD" w:rsidRDefault="00B90CA0" w:rsidP="00B90CA0">
      <w:pPr>
        <w:pStyle w:val="Level1"/>
        <w:numPr>
          <w:ilvl w:val="0"/>
          <w:numId w:val="38"/>
        </w:numPr>
        <w:rPr>
          <w:rFonts w:hint="eastAsia"/>
          <w:u w:val="single"/>
          <w:lang w:val="cs-CZ"/>
        </w:rPr>
      </w:pPr>
      <w:bookmarkStart w:id="217" w:name="_Toc256000052"/>
      <w:bookmarkStart w:id="218" w:name="_Toc373436376"/>
      <w:bookmarkStart w:id="219" w:name="_Ref426652752"/>
      <w:bookmarkStart w:id="220" w:name="_Ref426718328"/>
      <w:bookmarkStart w:id="221" w:name="_Ref426726051"/>
      <w:bookmarkStart w:id="222" w:name="_Ref428791968"/>
      <w:bookmarkStart w:id="223" w:name="_Toc433993923"/>
      <w:bookmarkStart w:id="224" w:name="_Toc441155803"/>
      <w:bookmarkStart w:id="225" w:name="_Toc441755403"/>
      <w:bookmarkStart w:id="226" w:name="_Toc457259509"/>
      <w:bookmarkStart w:id="227" w:name="_Toc468696778"/>
      <w:bookmarkStart w:id="228" w:name="_Toc507159368"/>
      <w:bookmarkStart w:id="229" w:name="_Ref508199565"/>
      <w:bookmarkStart w:id="230" w:name="_Ref508200192"/>
      <w:bookmarkStart w:id="231" w:name="_Ref508200247"/>
      <w:bookmarkStart w:id="232" w:name="_Ref508201806"/>
      <w:bookmarkStart w:id="233" w:name="_Ref508202083"/>
      <w:bookmarkStart w:id="234" w:name="_Toc10478027"/>
      <w:r w:rsidRPr="005025CD">
        <w:rPr>
          <w:u w:val="single"/>
          <w:lang w:val="cs-CZ"/>
        </w:rPr>
        <w:t xml:space="preserve">Platební </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5025CD">
        <w:rPr>
          <w:u w:val="single"/>
          <w:lang w:val="cs-CZ"/>
        </w:rPr>
        <w:t>podmínky</w:t>
      </w:r>
    </w:p>
    <w:p w:rsidR="00B90CA0" w:rsidRPr="005025CD" w:rsidRDefault="00B90CA0" w:rsidP="00B90CA0">
      <w:pPr>
        <w:pStyle w:val="Level2"/>
        <w:numPr>
          <w:ilvl w:val="1"/>
          <w:numId w:val="38"/>
        </w:numPr>
        <w:rPr>
          <w:rFonts w:hint="eastAsia"/>
          <w:lang w:val="cs-CZ"/>
        </w:rPr>
      </w:pPr>
      <w:bookmarkStart w:id="235" w:name="_Toc256000053"/>
      <w:bookmarkStart w:id="236" w:name="_Toc433993924"/>
      <w:bookmarkStart w:id="237" w:name="_Toc441155804"/>
      <w:bookmarkStart w:id="238" w:name="_Toc441755404"/>
      <w:bookmarkStart w:id="239" w:name="_Toc457259510"/>
      <w:bookmarkStart w:id="240" w:name="_Toc468696779"/>
      <w:bookmarkStart w:id="241" w:name="_Toc507159369"/>
      <w:r w:rsidRPr="005025CD">
        <w:rPr>
          <w:lang w:val="cs-CZ"/>
        </w:rPr>
        <w:t>Měna plateb</w:t>
      </w:r>
      <w:bookmarkEnd w:id="235"/>
      <w:bookmarkEnd w:id="236"/>
      <w:bookmarkEnd w:id="237"/>
      <w:bookmarkEnd w:id="238"/>
      <w:bookmarkEnd w:id="239"/>
      <w:bookmarkEnd w:id="240"/>
      <w:bookmarkEnd w:id="241"/>
    </w:p>
    <w:p w:rsidR="00B90CA0" w:rsidRPr="005025CD" w:rsidRDefault="00B90CA0" w:rsidP="00B90CA0">
      <w:pPr>
        <w:pStyle w:val="DocText"/>
        <w:tabs>
          <w:tab w:val="clear" w:pos="720"/>
        </w:tabs>
        <w:spacing w:line="260" w:lineRule="atLeast"/>
        <w:ind w:left="0" w:firstLine="0"/>
        <w:rPr>
          <w:lang w:val="cs-CZ"/>
        </w:rPr>
      </w:pPr>
      <w:r w:rsidRPr="005025CD">
        <w:rPr>
          <w:lang w:val="cs-CZ"/>
        </w:rPr>
        <w:t>Emitent se zavazuje vyplácet úrokový výnos a splatit jmenovitou hodnotu Krytých dluhopisů výlučně v českých korunách (Kč), případně jiné zákonné měně České republiky, která by českou korunu nahradila. Úrokový výnos bude vyplácen a jmenovitá hodnota Krytých dluhopisů bude splacena Vlastníkům dluhopisů za podmínek stanovených těmito Emisními podmínkami a daňovými, devizovými a ostatními příslušnými právními předpisy České republiky účinnými v době provedení příslušné platby a v souladu s nimi.</w:t>
      </w:r>
    </w:p>
    <w:p w:rsidR="00B90CA0" w:rsidRPr="005025CD" w:rsidRDefault="00B90CA0" w:rsidP="00B90CA0">
      <w:pPr>
        <w:pStyle w:val="DocText"/>
        <w:tabs>
          <w:tab w:val="clear" w:pos="720"/>
        </w:tabs>
        <w:spacing w:line="260" w:lineRule="atLeast"/>
        <w:ind w:left="0" w:firstLine="0"/>
        <w:rPr>
          <w:lang w:val="cs-CZ"/>
        </w:rPr>
      </w:pPr>
      <w:r w:rsidRPr="005025CD">
        <w:rPr>
          <w:lang w:val="cs-CZ"/>
        </w:rPr>
        <w:t>V případě, že koruna česká, ve které jsou Kryté dluhopisy denominovány a ve které mají být v souladu s těmito Emisními podmínkami prováděny platby v souvislosti s Krytými dluhopisy, zanikne a bude nahrazena měnou eur, bude (i) denominace Krytých dluhopisů změněna na eur, a to v souladu s platnými právními předpisy, a (</w:t>
      </w:r>
      <w:proofErr w:type="spellStart"/>
      <w:r w:rsidRPr="005025CD">
        <w:rPr>
          <w:lang w:val="cs-CZ"/>
        </w:rPr>
        <w:t>ii</w:t>
      </w:r>
      <w:proofErr w:type="spellEnd"/>
      <w:r w:rsidRPr="005025CD">
        <w:rPr>
          <w:lang w:val="cs-CZ"/>
        </w:rPr>
        <w:t>) všechny peněžité dluhy z Krytých dluhopisů budou automaticky a bez dalšího oznámení Vlastníkům dluhopisů splatné v eur, přičemž jako směnný kurz koruny české na eur bude použit oficiální kurz (tj. pevný přepočítací koeficient) v souladu s platnými právními předpisy. Takové nahrazení koruny české (i) se v žádném ohledu nedotkne existence dluhů Emitenta vyplývajících z Krytých dluhopisů nebo jejich vymahatelnosti a (</w:t>
      </w:r>
      <w:proofErr w:type="spellStart"/>
      <w:r w:rsidRPr="005025CD">
        <w:rPr>
          <w:lang w:val="cs-CZ"/>
        </w:rPr>
        <w:t>ii</w:t>
      </w:r>
      <w:proofErr w:type="spellEnd"/>
      <w:r w:rsidRPr="005025CD">
        <w:rPr>
          <w:lang w:val="cs-CZ"/>
        </w:rPr>
        <w:t>) pro vyloučení pochybností nebude považováno ani za změnu Emisních podmínek ani za Případ porušení povinnosti podle Emisních podmínek.</w:t>
      </w:r>
    </w:p>
    <w:p w:rsidR="00B90CA0" w:rsidRPr="005025CD" w:rsidRDefault="00B90CA0" w:rsidP="00B90CA0">
      <w:pPr>
        <w:pStyle w:val="Level2"/>
        <w:numPr>
          <w:ilvl w:val="1"/>
          <w:numId w:val="38"/>
        </w:numPr>
        <w:rPr>
          <w:rFonts w:hint="eastAsia"/>
          <w:lang w:val="cs-CZ"/>
        </w:rPr>
      </w:pPr>
      <w:bookmarkStart w:id="242" w:name="_Toc256000054"/>
      <w:bookmarkStart w:id="243" w:name="_Ref426651157"/>
      <w:bookmarkStart w:id="244" w:name="_Toc433993925"/>
      <w:bookmarkStart w:id="245" w:name="_Toc441155805"/>
      <w:bookmarkStart w:id="246" w:name="_Toc441755405"/>
      <w:bookmarkStart w:id="247" w:name="_Toc457259511"/>
      <w:bookmarkStart w:id="248" w:name="_Toc468696780"/>
      <w:bookmarkStart w:id="249" w:name="_Toc507159370"/>
      <w:r w:rsidRPr="005025CD">
        <w:rPr>
          <w:lang w:val="cs-CZ"/>
        </w:rPr>
        <w:t>Den výplaty</w:t>
      </w:r>
      <w:bookmarkEnd w:id="242"/>
      <w:bookmarkEnd w:id="243"/>
      <w:bookmarkEnd w:id="244"/>
      <w:bookmarkEnd w:id="245"/>
      <w:bookmarkEnd w:id="246"/>
      <w:bookmarkEnd w:id="247"/>
      <w:bookmarkEnd w:id="248"/>
      <w:bookmarkEnd w:id="249"/>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Výplaty úrokových výnosů z Krytých dluhopisů a splacení jmenovité hodnoty Krytých dluhopisů budou Emitentem prováděny k datům uvedeným v Emisních podmínkách, tj. podle smyslu v Den výplaty úroků, Den konečné splatnosti nebo Den předčasné splatnosti (každý z těchto dnů </w:t>
      </w:r>
      <w:r w:rsidRPr="005025CD">
        <w:rPr>
          <w:b/>
          <w:lang w:val="cs-CZ"/>
        </w:rPr>
        <w:t>Den výplaty</w:t>
      </w:r>
      <w:r w:rsidRPr="005025CD">
        <w:rPr>
          <w:lang w:val="cs-CZ"/>
        </w:rPr>
        <w:fldChar w:fldCharType="begin"/>
      </w:r>
      <w:r w:rsidRPr="005025CD">
        <w:rPr>
          <w:lang w:val="cs-CZ"/>
        </w:rPr>
        <w:instrText xml:space="preserve"> XE "Den výplaty" </w:instrText>
      </w:r>
      <w:r w:rsidRPr="005025CD">
        <w:rPr>
          <w:lang w:val="cs-CZ"/>
        </w:rPr>
        <w:fldChar w:fldCharType="end"/>
      </w:r>
      <w:r w:rsidRPr="005025CD">
        <w:rPr>
          <w:lang w:val="cs-CZ"/>
        </w:rPr>
        <w:t>).</w:t>
      </w:r>
    </w:p>
    <w:p w:rsidR="00B90CA0" w:rsidRPr="005025CD" w:rsidRDefault="00B90CA0" w:rsidP="00B90CA0">
      <w:pPr>
        <w:pStyle w:val="Level2"/>
        <w:numPr>
          <w:ilvl w:val="1"/>
          <w:numId w:val="38"/>
        </w:numPr>
        <w:rPr>
          <w:rFonts w:hint="eastAsia"/>
          <w:lang w:val="cs-CZ"/>
        </w:rPr>
      </w:pPr>
      <w:bookmarkStart w:id="250" w:name="_Toc256000055"/>
      <w:bookmarkStart w:id="251" w:name="_Ref426651827"/>
      <w:bookmarkStart w:id="252" w:name="_Ref426718369"/>
      <w:bookmarkStart w:id="253" w:name="_Ref426727104"/>
      <w:bookmarkStart w:id="254" w:name="_Toc433993926"/>
      <w:bookmarkStart w:id="255" w:name="_Toc441155806"/>
      <w:bookmarkStart w:id="256" w:name="_Toc441755406"/>
      <w:bookmarkStart w:id="257" w:name="_Toc457259512"/>
      <w:bookmarkStart w:id="258" w:name="_Toc468696781"/>
      <w:bookmarkStart w:id="259" w:name="_Toc507159371"/>
      <w:r w:rsidRPr="005025CD">
        <w:rPr>
          <w:lang w:val="cs-CZ"/>
        </w:rPr>
        <w:t>Konvence pracovního dne</w:t>
      </w:r>
      <w:bookmarkEnd w:id="250"/>
      <w:bookmarkEnd w:id="251"/>
      <w:bookmarkEnd w:id="252"/>
      <w:bookmarkEnd w:id="253"/>
      <w:bookmarkEnd w:id="254"/>
      <w:bookmarkEnd w:id="255"/>
      <w:bookmarkEnd w:id="256"/>
      <w:bookmarkEnd w:id="257"/>
      <w:bookmarkEnd w:id="258"/>
      <w:bookmarkEnd w:id="259"/>
    </w:p>
    <w:p w:rsidR="00B90CA0" w:rsidRPr="005025CD" w:rsidRDefault="00B90CA0" w:rsidP="00B90CA0">
      <w:pPr>
        <w:pStyle w:val="DocText"/>
        <w:tabs>
          <w:tab w:val="clear" w:pos="720"/>
        </w:tabs>
        <w:spacing w:line="260" w:lineRule="atLeast"/>
        <w:ind w:left="0" w:firstLine="0"/>
        <w:rPr>
          <w:lang w:val="cs-CZ"/>
        </w:rPr>
      </w:pPr>
      <w:r w:rsidRPr="005025CD">
        <w:rPr>
          <w:lang w:val="cs-CZ"/>
        </w:rPr>
        <w:t>Pokud by jakýkoli Den výplaty připadl na den, který není Pracovním dnem, bude takový Den výplaty namísto toho připadat na takový Pracovní den, který je nejblíže následujícím Pracovním dnem, přičemž Emitent nebude povinen platit úrok nebo jakékoli jiné dodatečné částky za jakýkoli časový odklad vzniklý v důsledku stanovené konvence Pracovního dne.</w:t>
      </w:r>
    </w:p>
    <w:p w:rsidR="00B90CA0" w:rsidRPr="005025CD" w:rsidRDefault="00B90CA0" w:rsidP="00B90CA0">
      <w:pPr>
        <w:pStyle w:val="Level2"/>
        <w:numPr>
          <w:ilvl w:val="1"/>
          <w:numId w:val="38"/>
        </w:numPr>
        <w:rPr>
          <w:rFonts w:hint="eastAsia"/>
          <w:lang w:val="cs-CZ"/>
        </w:rPr>
      </w:pPr>
      <w:bookmarkStart w:id="260" w:name="_Toc256000056"/>
      <w:bookmarkStart w:id="261" w:name="_Toc433993927"/>
      <w:bookmarkStart w:id="262" w:name="_Toc441155807"/>
      <w:bookmarkStart w:id="263" w:name="_Toc441755407"/>
      <w:bookmarkStart w:id="264" w:name="_Toc457259513"/>
      <w:bookmarkStart w:id="265" w:name="_Toc468696782"/>
      <w:bookmarkStart w:id="266" w:name="_Toc507159372"/>
      <w:r w:rsidRPr="005025CD">
        <w:rPr>
          <w:lang w:val="cs-CZ"/>
        </w:rPr>
        <w:lastRenderedPageBreak/>
        <w:t xml:space="preserve">Určení práva na obdržení výplat souvisejících s </w:t>
      </w:r>
      <w:bookmarkEnd w:id="260"/>
      <w:bookmarkEnd w:id="261"/>
      <w:bookmarkEnd w:id="262"/>
      <w:bookmarkEnd w:id="263"/>
      <w:bookmarkEnd w:id="264"/>
      <w:bookmarkEnd w:id="265"/>
      <w:bookmarkEnd w:id="266"/>
      <w:r w:rsidRPr="005025CD">
        <w:rPr>
          <w:lang w:val="cs-CZ"/>
        </w:rPr>
        <w:t>krytými dluhopisy</w:t>
      </w:r>
    </w:p>
    <w:p w:rsidR="00B90CA0" w:rsidRPr="005025CD" w:rsidRDefault="00B90CA0" w:rsidP="00B90CA0">
      <w:pPr>
        <w:pStyle w:val="DocText"/>
        <w:tabs>
          <w:tab w:val="clear" w:pos="720"/>
        </w:tabs>
        <w:spacing w:line="260" w:lineRule="atLeast"/>
        <w:ind w:left="0" w:firstLine="0"/>
        <w:rPr>
          <w:lang w:val="cs-CZ"/>
        </w:rPr>
      </w:pPr>
      <w:r w:rsidRPr="005025CD">
        <w:rPr>
          <w:lang w:val="cs-CZ"/>
        </w:rPr>
        <w:t>Oprávněné osoby, kterým Emitent bude vyplácet výnosy z Krytých dluhopisů nebo jim splatí jmenovitou hodnotu Krytých dluhopisů, jsou osoby, na jejichž účtu vlastníka v Centrálním depozitáři nebo evidenci osoby vedoucí evidenci navazující na centrální evidenci budou Kryté dluhopisy evidovány ke konci příslušného Rozhodného dne pro výplatu, ledaže bylo Emitentovi přesvědčivým způsobem nejpozději pět Pracovních dnů po příslušném Rozhodném dnu pro výplatu prokázáno, že zápis na účtu vlastníka v Centrálním depozitáři či v evidenci navazující na centrální evidenci neodpovídá skutečnosti, a že existuje jiná osoba nebo osoby, na jejichž účtu vlastníka v Centrálním depozitáři nebo v evidenci navazující na centrální evidenci měly být Kryté dluhopisy evidovány ke konci příslušného Rozhodného dne pro výplatu, přičemž v takovém případě bude Emitent vyplácet výnosy z Krytých dluhopisů nebo splatí jmenovitou hodnotu Krytých dluhopisů takové osobě nebo osobám (</w:t>
      </w:r>
      <w:r w:rsidRPr="005025CD">
        <w:rPr>
          <w:b/>
          <w:lang w:val="cs-CZ"/>
        </w:rPr>
        <w:t>Oprávněné osoby</w:t>
      </w:r>
      <w:r w:rsidRPr="005025CD">
        <w:rPr>
          <w:lang w:val="cs-CZ"/>
        </w:rPr>
        <w:fldChar w:fldCharType="begin"/>
      </w:r>
      <w:r w:rsidRPr="005025CD">
        <w:rPr>
          <w:lang w:val="cs-CZ"/>
        </w:rPr>
        <w:instrText xml:space="preserve"> XE "Oprávněné osoby" </w:instrText>
      </w:r>
      <w:r w:rsidRPr="005025CD">
        <w:rPr>
          <w:lang w:val="cs-CZ"/>
        </w:rPr>
        <w:fldChar w:fldCharType="end"/>
      </w:r>
      <w:r w:rsidRPr="005025CD">
        <w:rPr>
          <w:lang w:val="cs-CZ"/>
        </w:rPr>
        <w:t>).</w:t>
      </w:r>
    </w:p>
    <w:p w:rsidR="00B90CA0" w:rsidRPr="005025CD" w:rsidRDefault="00B90CA0" w:rsidP="00B90CA0">
      <w:pPr>
        <w:pStyle w:val="DocText"/>
        <w:tabs>
          <w:tab w:val="clear" w:pos="720"/>
        </w:tabs>
        <w:spacing w:line="260" w:lineRule="atLeast"/>
        <w:ind w:left="0" w:firstLine="0"/>
        <w:rPr>
          <w:lang w:val="cs-CZ"/>
        </w:rPr>
      </w:pPr>
      <w:r w:rsidRPr="005025CD">
        <w:rPr>
          <w:lang w:val="cs-CZ"/>
        </w:rPr>
        <w:t>Pro účely určení příjemce výnosu z Krytých dluhopisů nebo jmenovité hodnoty Krytých dluhopisů nebude Emitent přihlížet k převodům Krytých dluhopisů zapsaným v centrální evidenci nebo evidenci navazující na centrální evidenci po Rozhodném dni pro výplatu.</w:t>
      </w:r>
    </w:p>
    <w:p w:rsidR="00B90CA0" w:rsidRPr="005025CD" w:rsidRDefault="00B90CA0" w:rsidP="00B90CA0">
      <w:pPr>
        <w:pStyle w:val="DocText"/>
        <w:tabs>
          <w:tab w:val="clear" w:pos="720"/>
        </w:tabs>
        <w:spacing w:line="260" w:lineRule="atLeast"/>
        <w:ind w:left="0" w:firstLine="0"/>
        <w:rPr>
          <w:lang w:val="cs-CZ"/>
        </w:rPr>
      </w:pPr>
      <w:r w:rsidRPr="005025CD">
        <w:rPr>
          <w:lang w:val="cs-CZ"/>
        </w:rPr>
        <w:t>Pokud to nebude odporovat platným právním předpisům, mohou být pro účely zaplacení jmenovité hodnoty Krytých dluhopisů převody Krytých dluhopisů pozastaveny počínaje dnem bezprostředně následujícím po Rozhodném dnu pro výplatu až do příslušného Dne výplaty.</w:t>
      </w:r>
    </w:p>
    <w:p w:rsidR="00B90CA0" w:rsidRPr="005025CD" w:rsidRDefault="00B90CA0" w:rsidP="00B90CA0">
      <w:pPr>
        <w:pStyle w:val="DocText"/>
        <w:tabs>
          <w:tab w:val="clear" w:pos="720"/>
        </w:tabs>
        <w:spacing w:line="260" w:lineRule="atLeast"/>
        <w:ind w:left="0" w:firstLine="0"/>
        <w:rPr>
          <w:lang w:val="cs-CZ"/>
        </w:rPr>
      </w:pPr>
      <w:r w:rsidRPr="005025CD">
        <w:rPr>
          <w:lang w:val="cs-CZ"/>
        </w:rPr>
        <w:t>Jsou-li Kryté dluhopisy dle zápisu na účtu vlastníka v Centrálním depozitáři zastaveny, považuje se zástavní věřitel zapsaný ve výpisu z evidence příslušné Emise vyhotoveným Centrálním depozitářem ke konci Rozhodného dne výplaty za osobu oprávněnou k výplatě úrokových či jiných výnosů a jmenovité hodnoty ve vztahu k příslušným Krytým dluhopisům, ledaže (i) z výpisu z evidence Emise je zřejmé, že osobou oprávněnou k výplatě výnosu ze zastavených Krytých dluhopisů je příslušný Vlastník dluhopisů, a/nebo (</w:t>
      </w:r>
      <w:proofErr w:type="spellStart"/>
      <w:r w:rsidRPr="005025CD">
        <w:rPr>
          <w:lang w:val="cs-CZ"/>
        </w:rPr>
        <w:t>ii</w:t>
      </w:r>
      <w:proofErr w:type="spellEnd"/>
      <w:r w:rsidRPr="005025CD">
        <w:rPr>
          <w:lang w:val="cs-CZ"/>
        </w:rPr>
        <w:t>) je Emitentovi prokázáno jiným pro něj uspokojivým způsobem, že příslušný Vlastník dluhopisů má právo na výplatu ve vztahu k zastaveným Krytým dluhopisům na základě dohody mezi takovým Vlastníkem dluhopisů a zástavním věřitelem.</w:t>
      </w:r>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Pokud Oprávněná osoba požádá o provedení platby prostřednictvím zmocněnce, provede Emitent platbu pouze po předložení originálu nebo úředně ověřené kopie plné moci, přičemž podpis Oprávněné osoby na plné moci musí být úředně ověřen, nestanoví-li obecně závazné právní předpisy jinak. Dokumenty vydané v zahraničí musí být superlegalizovány nebo opatřeny </w:t>
      </w:r>
      <w:proofErr w:type="spellStart"/>
      <w:r w:rsidRPr="005025CD">
        <w:rPr>
          <w:lang w:val="cs-CZ"/>
        </w:rPr>
        <w:t>apostilou</w:t>
      </w:r>
      <w:proofErr w:type="spellEnd"/>
      <w:r w:rsidRPr="005025CD">
        <w:rPr>
          <w:lang w:val="cs-CZ"/>
        </w:rPr>
        <w:t>, nestanoví-li příslušná mezinárodní smlouva, kterou je Česká republika vázána, jinak.</w:t>
      </w:r>
    </w:p>
    <w:p w:rsidR="00B90CA0" w:rsidRPr="005025CD" w:rsidRDefault="00B90CA0" w:rsidP="00B90CA0">
      <w:pPr>
        <w:pStyle w:val="DocText"/>
        <w:tabs>
          <w:tab w:val="clear" w:pos="720"/>
        </w:tabs>
        <w:spacing w:line="260" w:lineRule="atLeast"/>
        <w:ind w:left="0" w:firstLine="0"/>
        <w:rPr>
          <w:lang w:val="cs-CZ"/>
        </w:rPr>
      </w:pPr>
      <w:r w:rsidRPr="005025CD">
        <w:rPr>
          <w:lang w:val="cs-CZ"/>
        </w:rPr>
        <w:t>Jakékoli dokumenty předložené Oprávněnými osobami Emitentovi v souvislosti s platbami Oprávněným osobám musí být v českém nebo anglickém jazyce nebo přeloženy do českého jazyka soudním překladatelem, není-li v těchto Emisních podmínkách stanoveno jinak nebo není-li s Emitentem dohodnuto jinak.</w:t>
      </w:r>
    </w:p>
    <w:p w:rsidR="00B90CA0" w:rsidRPr="005025CD" w:rsidRDefault="00B90CA0" w:rsidP="00B90CA0">
      <w:pPr>
        <w:pStyle w:val="Level2"/>
        <w:numPr>
          <w:ilvl w:val="1"/>
          <w:numId w:val="38"/>
        </w:numPr>
        <w:rPr>
          <w:rFonts w:hint="eastAsia"/>
          <w:lang w:val="cs-CZ"/>
        </w:rPr>
      </w:pPr>
      <w:bookmarkStart w:id="267" w:name="_Toc256000057"/>
      <w:bookmarkStart w:id="268" w:name="_Ref426652394"/>
      <w:bookmarkStart w:id="269" w:name="_Ref426722894"/>
      <w:bookmarkStart w:id="270" w:name="_Ref426722928"/>
      <w:bookmarkStart w:id="271" w:name="_Toc433993928"/>
      <w:bookmarkStart w:id="272" w:name="_Toc441155808"/>
      <w:bookmarkStart w:id="273" w:name="_Toc441755408"/>
      <w:bookmarkStart w:id="274" w:name="_Toc457259514"/>
      <w:bookmarkStart w:id="275" w:name="_Toc468696783"/>
      <w:bookmarkStart w:id="276" w:name="_Toc507159373"/>
      <w:r w:rsidRPr="005025CD">
        <w:rPr>
          <w:lang w:val="cs-CZ"/>
        </w:rPr>
        <w:t>Provádění plateb</w:t>
      </w:r>
      <w:bookmarkEnd w:id="267"/>
      <w:bookmarkEnd w:id="268"/>
      <w:bookmarkEnd w:id="269"/>
      <w:bookmarkEnd w:id="270"/>
      <w:bookmarkEnd w:id="271"/>
      <w:bookmarkEnd w:id="272"/>
      <w:bookmarkEnd w:id="273"/>
      <w:bookmarkEnd w:id="274"/>
      <w:bookmarkEnd w:id="275"/>
      <w:bookmarkEnd w:id="276"/>
    </w:p>
    <w:p w:rsidR="00B90CA0" w:rsidRPr="005025CD" w:rsidRDefault="00B90CA0" w:rsidP="00B90CA0">
      <w:pPr>
        <w:pStyle w:val="DocText"/>
        <w:tabs>
          <w:tab w:val="clear" w:pos="720"/>
        </w:tabs>
        <w:spacing w:line="260" w:lineRule="atLeast"/>
        <w:ind w:left="0" w:firstLine="0"/>
        <w:rPr>
          <w:lang w:val="cs-CZ"/>
        </w:rPr>
      </w:pPr>
      <w:r w:rsidRPr="005025CD">
        <w:rPr>
          <w:lang w:val="cs-CZ"/>
        </w:rPr>
        <w:t>Emitent bude provádět platby v souvislosti s Krytými dluhopisy Oprávněným osobám pouze bezhotovostním převodem na jejich účet vedený u banky v členském státě Evropské unie nebo jiném státě tvořícím Evropský hospodářský prostor podle pokynu, který mu příslušná Oprávněná osoba sdělí na jeho adresu způsobem, který je pro tyto platby obvyklý, a to nejméně pět Pracovních dnů před Dnem výplaty. Pokyn bude mít formu podepsaného písemného prohlášení s úředně ověřeným podpisem nebo podpisy nebo podpisem ověřeným oprávněným pracovníkem Emitenta, bude obsahovat dostatečnou informaci o výše zmíněném účtu umožňující Emitentovi platbu a v případě právnických osob dále originál nebo úředně ověřenou kopii platného výpisu z obchodního rejstříku Oprávněné osoby nebo jiného obdobného registru, ve kterém je Oprávněná osoba registrována, ne starší šesti měsíců, přičemž soulad údajů v takovémto výpise s instrukcí ověří Emitent (pokyn, výpis z obchodního rejstříku a potvrzení o daňovém domicilu, popř. ostatní přílohy (</w:t>
      </w:r>
      <w:r w:rsidRPr="005025CD">
        <w:rPr>
          <w:b/>
          <w:lang w:val="cs-CZ"/>
        </w:rPr>
        <w:t>Instrukce</w:t>
      </w:r>
      <w:r w:rsidRPr="005025CD">
        <w:rPr>
          <w:lang w:val="cs-CZ"/>
        </w:rPr>
        <w:fldChar w:fldCharType="begin"/>
      </w:r>
      <w:r w:rsidRPr="005025CD">
        <w:rPr>
          <w:lang w:val="cs-CZ"/>
        </w:rPr>
        <w:instrText xml:space="preserve"> XE "Instrukce" </w:instrText>
      </w:r>
      <w:r w:rsidRPr="005025CD">
        <w:rPr>
          <w:lang w:val="cs-CZ"/>
        </w:rPr>
        <w:fldChar w:fldCharType="end"/>
      </w:r>
      <w:r w:rsidRPr="005025CD">
        <w:rPr>
          <w:lang w:val="cs-CZ"/>
        </w:rPr>
        <w:t>)).</w:t>
      </w:r>
    </w:p>
    <w:p w:rsidR="00B90CA0" w:rsidRPr="005025CD" w:rsidRDefault="00B90CA0" w:rsidP="00B90CA0">
      <w:pPr>
        <w:pStyle w:val="DocText"/>
        <w:tabs>
          <w:tab w:val="clear" w:pos="720"/>
        </w:tabs>
        <w:spacing w:line="260" w:lineRule="atLeast"/>
        <w:ind w:left="0" w:firstLine="0"/>
        <w:rPr>
          <w:lang w:val="cs-CZ"/>
        </w:rPr>
      </w:pPr>
      <w:r w:rsidRPr="005025CD">
        <w:rPr>
          <w:lang w:val="cs-CZ"/>
        </w:rPr>
        <w:lastRenderedPageBreak/>
        <w:t>Instrukce musí být v souladu s konkrétními požadavky Emitenta z hlediska obsahu, formy a potvrzení o oprávnění za Oprávněnou osobu Instrukci podepsat, např. Emitent je oprávněn požadovat (i) předložení plné moci včetně úředně ověřeného překladu do českého jazyka nebo (</w:t>
      </w:r>
      <w:proofErr w:type="spellStart"/>
      <w:r w:rsidRPr="005025CD">
        <w:rPr>
          <w:lang w:val="cs-CZ"/>
        </w:rPr>
        <w:t>ii</w:t>
      </w:r>
      <w:proofErr w:type="spellEnd"/>
      <w:r w:rsidRPr="005025CD">
        <w:rPr>
          <w:lang w:val="cs-CZ"/>
        </w:rPr>
        <w:t xml:space="preserve">) dodatečné potvrzení Instrukce od Oprávněné osoby. Bez ohledu na výše uvedené Emitent není povinen prověřovat správnost, úplnost nebo pravost takových Instrukcí a není odpovědný za škody způsobené prodlením Oprávněné osoby s doručením Instrukce či její nesprávností nebo jinou vadou. Instrukce se považuje za řádnou, pokud v souladu s tímto článkem obsahuje všechny náležitosti a je Emitentovi sdělena způsobem v tomto článku upraveným. </w:t>
      </w:r>
    </w:p>
    <w:p w:rsidR="00B90CA0" w:rsidRPr="005025CD" w:rsidRDefault="00B90CA0" w:rsidP="00B90CA0">
      <w:pPr>
        <w:pStyle w:val="DocText"/>
        <w:tabs>
          <w:tab w:val="clear" w:pos="720"/>
        </w:tabs>
        <w:spacing w:line="260" w:lineRule="atLeast"/>
        <w:ind w:left="0" w:firstLine="0"/>
        <w:rPr>
          <w:lang w:val="cs-CZ"/>
        </w:rPr>
      </w:pPr>
      <w:r w:rsidRPr="005025CD">
        <w:rPr>
          <w:lang w:val="cs-CZ"/>
        </w:rPr>
        <w:t>Instrukce bude považována za řádně doručenou, pokud byla Emitentovi doručena nejméně pět Pracovních dnů před Dnem výplaty.</w:t>
      </w:r>
    </w:p>
    <w:p w:rsidR="00B90CA0" w:rsidRPr="005025CD" w:rsidRDefault="00B90CA0" w:rsidP="00B90CA0">
      <w:pPr>
        <w:pStyle w:val="DocText"/>
        <w:tabs>
          <w:tab w:val="clear" w:pos="720"/>
        </w:tabs>
        <w:spacing w:line="260" w:lineRule="atLeast"/>
        <w:ind w:left="0" w:firstLine="0"/>
        <w:rPr>
          <w:lang w:val="cs-CZ"/>
        </w:rPr>
      </w:pPr>
      <w:r w:rsidRPr="005025CD">
        <w:rPr>
          <w:lang w:val="cs-CZ"/>
        </w:rPr>
        <w:t>Jakákoli Oprávněná osoba, která v souladu se zákonem či mezinárodní smlouvou o zamezení dvojího zdanění (jíž je Česká republika vázána) uplatňuje nárok na daňové zvýhodnění, je povinna doručit Emitentovi, spolu s Instrukcí jako její nedílnou součást aktuální doklad o svém daňovém domicilu jakož i další doklady, které si může Emitent a příslušné daňové orgány vyžádat. Bez ohledu na toto své oprávnění nebude Emitent ani prověřovat správnost a úplnost takových Instrukcí a neponesou žádnou odpovědnost za škodu či jinou újmu způsobenou prodlením Oprávněné osoby s doručením Instrukce, její nesprávností či jinou vadou takové Instrukce.</w:t>
      </w:r>
    </w:p>
    <w:p w:rsidR="00B90CA0" w:rsidRPr="005025CD" w:rsidRDefault="00B90CA0" w:rsidP="00B90CA0">
      <w:pPr>
        <w:pStyle w:val="DocText"/>
        <w:tabs>
          <w:tab w:val="clear" w:pos="720"/>
        </w:tabs>
        <w:spacing w:line="260" w:lineRule="atLeast"/>
        <w:ind w:left="0" w:firstLine="0"/>
        <w:rPr>
          <w:lang w:val="cs-CZ" w:eastAsia="cs-CZ"/>
        </w:rPr>
      </w:pPr>
      <w:r w:rsidRPr="005025CD">
        <w:rPr>
          <w:lang w:val="cs-CZ"/>
        </w:rPr>
        <w:t>Pakliže výše uvedené doklady (zejména doklad o daňovém domicilu) nebudou Emitentovi doručeny ve stanovené lhůtě, bude Emitent postupovat, jako by mu doklady předloženy nebyly. Oprávněná osoba může tyto podklady dokládající nárok na daňové zvýhodnění doručit následně a žádat Emitenta o vrácení srážkové daně. Emitent má v takovém případě právo požadovat po Oprávněné osobě úhradu veškerých přímých i nepřímých nákladů vynaložených na vrácení daně</w:t>
      </w:r>
      <w:r w:rsidRPr="005025CD">
        <w:rPr>
          <w:lang w:val="cs-CZ" w:eastAsia="cs-CZ"/>
        </w:rPr>
        <w:t>.</w:t>
      </w:r>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Emitent neodpovídá za prodlení způsobené Oprávněnou osobou, např. pozdním podáním Instrukce. Pokud Oprávněná osoba nedodala Emitentovi řádnou Instrukci, tak povinnost Emitenta zaplatit jakoukoli dlužnou částku se považuje za splněnou řádně a včas, pokud je příslušná částka poukázána Oprávněné osobě v souladu s dodatečně doručenou řádnou Instrukcí podle tohoto </w:t>
      </w:r>
      <w:proofErr w:type="gramStart"/>
      <w:r w:rsidRPr="005025CD">
        <w:rPr>
          <w:lang w:val="cs-CZ"/>
        </w:rPr>
        <w:t xml:space="preserve">článku </w:t>
      </w:r>
      <w:r w:rsidRPr="005025CD">
        <w:rPr>
          <w:lang w:val="cs-CZ"/>
        </w:rPr>
        <w:fldChar w:fldCharType="begin"/>
      </w:r>
      <w:r w:rsidRPr="005025CD">
        <w:rPr>
          <w:lang w:val="cs-CZ"/>
        </w:rPr>
        <w:instrText xml:space="preserve"> REF _Ref426652394 \n \h  \* MERGEFORMAT </w:instrText>
      </w:r>
      <w:r w:rsidRPr="005025CD">
        <w:rPr>
          <w:lang w:val="cs-CZ"/>
        </w:rPr>
      </w:r>
      <w:r w:rsidRPr="005025CD">
        <w:rPr>
          <w:lang w:val="cs-CZ"/>
        </w:rPr>
        <w:fldChar w:fldCharType="separate"/>
      </w:r>
      <w:r w:rsidR="00723DD2">
        <w:rPr>
          <w:lang w:val="cs-CZ"/>
        </w:rPr>
        <w:t>6.5</w:t>
      </w:r>
      <w:r w:rsidRPr="005025CD">
        <w:rPr>
          <w:lang w:val="cs-CZ"/>
        </w:rPr>
        <w:fldChar w:fldCharType="end"/>
      </w:r>
      <w:r w:rsidRPr="005025CD">
        <w:rPr>
          <w:lang w:val="cs-CZ"/>
        </w:rPr>
        <w:t>, a pokud</w:t>
      </w:r>
      <w:proofErr w:type="gramEnd"/>
      <w:r w:rsidRPr="005025CD">
        <w:rPr>
          <w:lang w:val="cs-CZ"/>
        </w:rPr>
        <w:t xml:space="preserve"> je nejpozději do dvanácti Pracovních dnů ode dne, kdy Emitent obdržel řádnou Instrukci, zaplacena. Oprávněná osoba nemá v takovém případě nárok na jakýkoli úrok nebo jiný výnos či doplatek za dobu prodlení způsobené opožděným zasláním Instrukce. </w:t>
      </w:r>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Emitent rovněž neodpovídá za jakoukoli škodu vzniklou (i) nedodáním včasné a řádné Instrukce nebo dalších dokumentů či informací uvedených v tomto </w:t>
      </w:r>
      <w:proofErr w:type="gramStart"/>
      <w:r w:rsidRPr="005025CD">
        <w:rPr>
          <w:lang w:val="cs-CZ"/>
        </w:rPr>
        <w:t xml:space="preserve">článku </w:t>
      </w:r>
      <w:r w:rsidRPr="005025CD">
        <w:rPr>
          <w:lang w:val="cs-CZ"/>
        </w:rPr>
        <w:fldChar w:fldCharType="begin"/>
      </w:r>
      <w:r w:rsidRPr="005025CD">
        <w:rPr>
          <w:lang w:val="cs-CZ"/>
        </w:rPr>
        <w:instrText xml:space="preserve"> REF _Ref426652394 \n \h  \* MERGEFORMAT </w:instrText>
      </w:r>
      <w:r w:rsidRPr="005025CD">
        <w:rPr>
          <w:lang w:val="cs-CZ"/>
        </w:rPr>
      </w:r>
      <w:r w:rsidRPr="005025CD">
        <w:rPr>
          <w:lang w:val="cs-CZ"/>
        </w:rPr>
        <w:fldChar w:fldCharType="separate"/>
      </w:r>
      <w:r w:rsidR="00723DD2">
        <w:rPr>
          <w:lang w:val="cs-CZ"/>
        </w:rPr>
        <w:t>6.5</w:t>
      </w:r>
      <w:r w:rsidRPr="005025CD">
        <w:rPr>
          <w:lang w:val="cs-CZ"/>
        </w:rPr>
        <w:fldChar w:fldCharType="end"/>
      </w:r>
      <w:r w:rsidRPr="005025CD">
        <w:rPr>
          <w:lang w:val="cs-CZ"/>
        </w:rPr>
        <w:t xml:space="preserve"> nebo</w:t>
      </w:r>
      <w:proofErr w:type="gramEnd"/>
      <w:r w:rsidRPr="005025CD">
        <w:rPr>
          <w:lang w:val="cs-CZ"/>
        </w:rPr>
        <w:t xml:space="preserve"> (</w:t>
      </w:r>
      <w:proofErr w:type="spellStart"/>
      <w:r w:rsidRPr="005025CD">
        <w:rPr>
          <w:lang w:val="cs-CZ"/>
        </w:rPr>
        <w:t>ii</w:t>
      </w:r>
      <w:proofErr w:type="spellEnd"/>
      <w:r w:rsidRPr="005025CD">
        <w:rPr>
          <w:lang w:val="cs-CZ"/>
        </w:rPr>
        <w:t>) tím, že Instrukce nebo související dokumenty či informace byly nesprávné, neúplné nebo nepravdivé anebo (</w:t>
      </w:r>
      <w:proofErr w:type="spellStart"/>
      <w:r w:rsidRPr="005025CD">
        <w:rPr>
          <w:lang w:val="cs-CZ"/>
        </w:rPr>
        <w:t>iii</w:t>
      </w:r>
      <w:proofErr w:type="spellEnd"/>
      <w:r w:rsidRPr="005025CD">
        <w:rPr>
          <w:lang w:val="cs-CZ"/>
        </w:rPr>
        <w:t>) skutečnostmi, které nemohl Emitent ovlivnit. Oprávněné osobě v takovém případě nevzniká žádný nárok na jakýkoli doplatek, náhradu či úrok za dobu prodlení.</w:t>
      </w:r>
    </w:p>
    <w:p w:rsidR="00B90CA0" w:rsidRPr="005025CD" w:rsidRDefault="00B90CA0" w:rsidP="00B90CA0">
      <w:pPr>
        <w:pStyle w:val="Level2"/>
        <w:numPr>
          <w:ilvl w:val="1"/>
          <w:numId w:val="38"/>
        </w:numPr>
        <w:rPr>
          <w:rFonts w:hint="eastAsia"/>
          <w:lang w:val="cs-CZ"/>
        </w:rPr>
      </w:pPr>
      <w:bookmarkStart w:id="277" w:name="_Toc256000058"/>
      <w:bookmarkStart w:id="278" w:name="_Toc433993929"/>
      <w:bookmarkStart w:id="279" w:name="_Toc441155809"/>
      <w:bookmarkStart w:id="280" w:name="_Toc441755409"/>
      <w:bookmarkStart w:id="281" w:name="_Toc457259515"/>
      <w:bookmarkStart w:id="282" w:name="_Toc468696784"/>
      <w:bookmarkStart w:id="283" w:name="_Toc507159374"/>
      <w:r w:rsidRPr="005025CD">
        <w:rPr>
          <w:lang w:val="cs-CZ"/>
        </w:rPr>
        <w:t>Změna způsobu provádění plateb</w:t>
      </w:r>
      <w:bookmarkEnd w:id="277"/>
      <w:bookmarkEnd w:id="278"/>
      <w:bookmarkEnd w:id="279"/>
      <w:bookmarkEnd w:id="280"/>
      <w:bookmarkEnd w:id="281"/>
      <w:bookmarkEnd w:id="282"/>
      <w:bookmarkEnd w:id="283"/>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Emitent může rozhodnout o změně způsobu provádění plateb, pokud změna negativně neovlivní postavení nebo zájmy Vlastníků dluhopisů. Rozhodnutí bude Vlastníkům dluhopisů oznámeno způsobem uvedeným v článku </w:t>
      </w:r>
      <w:r w:rsidRPr="005025CD">
        <w:rPr>
          <w:lang w:val="cs-CZ"/>
        </w:rPr>
        <w:fldChar w:fldCharType="begin"/>
      </w:r>
      <w:r w:rsidRPr="005025CD">
        <w:rPr>
          <w:lang w:val="cs-CZ"/>
        </w:rPr>
        <w:instrText xml:space="preserve"> REF _Ref458089575 \r \h  \* MERGEFORMAT </w:instrText>
      </w:r>
      <w:r w:rsidRPr="005025CD">
        <w:rPr>
          <w:lang w:val="cs-CZ"/>
        </w:rPr>
      </w:r>
      <w:r w:rsidRPr="005025CD">
        <w:rPr>
          <w:lang w:val="cs-CZ"/>
        </w:rPr>
        <w:fldChar w:fldCharType="separate"/>
      </w:r>
      <w:r w:rsidR="00723DD2">
        <w:rPr>
          <w:lang w:val="cs-CZ"/>
        </w:rPr>
        <w:t>11</w:t>
      </w:r>
      <w:r w:rsidRPr="005025CD">
        <w:rPr>
          <w:lang w:val="cs-CZ"/>
        </w:rPr>
        <w:fldChar w:fldCharType="end"/>
      </w:r>
      <w:r w:rsidRPr="005025CD">
        <w:rPr>
          <w:lang w:val="cs-CZ"/>
        </w:rPr>
        <w:t xml:space="preserve">. V ostatních případech bude o takové změně rozhodovat Schůze v souladu s článkem </w:t>
      </w:r>
      <w:r w:rsidRPr="005025CD">
        <w:rPr>
          <w:lang w:val="cs-CZ"/>
        </w:rPr>
        <w:fldChar w:fldCharType="begin"/>
      </w:r>
      <w:r w:rsidRPr="005025CD">
        <w:rPr>
          <w:lang w:val="cs-CZ"/>
        </w:rPr>
        <w:instrText xml:space="preserve"> REF _Ref432101542 \r \h  \* MERGEFORMAT </w:instrText>
      </w:r>
      <w:r w:rsidRPr="005025CD">
        <w:rPr>
          <w:lang w:val="cs-CZ"/>
        </w:rPr>
      </w:r>
      <w:r w:rsidRPr="005025CD">
        <w:rPr>
          <w:lang w:val="cs-CZ"/>
        </w:rPr>
        <w:fldChar w:fldCharType="separate"/>
      </w:r>
      <w:r w:rsidR="00723DD2">
        <w:rPr>
          <w:lang w:val="cs-CZ"/>
        </w:rPr>
        <w:t>9</w:t>
      </w:r>
      <w:r w:rsidRPr="005025CD">
        <w:rPr>
          <w:lang w:val="cs-CZ"/>
        </w:rPr>
        <w:fldChar w:fldCharType="end"/>
      </w:r>
      <w:r w:rsidRPr="005025CD">
        <w:rPr>
          <w:lang w:val="cs-CZ"/>
        </w:rPr>
        <w:t>.</w:t>
      </w:r>
    </w:p>
    <w:p w:rsidR="00B90CA0" w:rsidRPr="005025CD" w:rsidRDefault="00B90CA0" w:rsidP="00B90CA0">
      <w:pPr>
        <w:pStyle w:val="Level1"/>
        <w:numPr>
          <w:ilvl w:val="0"/>
          <w:numId w:val="38"/>
        </w:numPr>
        <w:rPr>
          <w:rFonts w:hint="eastAsia"/>
          <w:u w:val="single"/>
          <w:lang w:val="cs-CZ"/>
        </w:rPr>
      </w:pPr>
      <w:bookmarkStart w:id="284" w:name="_Toc256000059"/>
      <w:bookmarkStart w:id="285" w:name="_Toc373436377"/>
      <w:bookmarkStart w:id="286" w:name="_Toc433993930"/>
      <w:bookmarkStart w:id="287" w:name="_Toc441155810"/>
      <w:bookmarkStart w:id="288" w:name="_Toc441755410"/>
      <w:bookmarkStart w:id="289" w:name="_Toc457259516"/>
      <w:bookmarkStart w:id="290" w:name="_Toc468696785"/>
      <w:bookmarkStart w:id="291" w:name="_Toc507159375"/>
      <w:bookmarkStart w:id="292" w:name="_Toc10478028"/>
      <w:r w:rsidRPr="005025CD">
        <w:rPr>
          <w:u w:val="single"/>
          <w:lang w:val="cs-CZ"/>
        </w:rPr>
        <w:t>Zdanění</w:t>
      </w:r>
      <w:bookmarkEnd w:id="284"/>
      <w:bookmarkEnd w:id="285"/>
      <w:bookmarkEnd w:id="286"/>
      <w:bookmarkEnd w:id="287"/>
      <w:bookmarkEnd w:id="288"/>
      <w:bookmarkEnd w:id="289"/>
      <w:bookmarkEnd w:id="290"/>
      <w:bookmarkEnd w:id="291"/>
      <w:bookmarkEnd w:id="292"/>
    </w:p>
    <w:p w:rsidR="00B90CA0" w:rsidRPr="005025CD" w:rsidRDefault="00B90CA0" w:rsidP="00B90CA0">
      <w:pPr>
        <w:pStyle w:val="DocText"/>
        <w:tabs>
          <w:tab w:val="clear" w:pos="720"/>
        </w:tabs>
        <w:spacing w:line="260" w:lineRule="atLeast"/>
        <w:ind w:left="0" w:firstLine="0"/>
        <w:rPr>
          <w:lang w:val="cs-CZ"/>
        </w:rPr>
      </w:pPr>
      <w:r w:rsidRPr="005025CD">
        <w:rPr>
          <w:lang w:val="cs-CZ"/>
        </w:rPr>
        <w:t>Nestanoví-li právní předpis nebo mezinárodní smlouva, kterou je Česká republika vázána, jinak, Emitent neodpovídá za odvod jakýchkoli daní ani mu neplyne povinnost zaplatit jakékoli daně v souvislosti s Krytými dluhopisy, zejména v důsledku vlastnictví, převodu nebo výkonu práv z Krytých dluhopisů.</w:t>
      </w:r>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Příjem z držby Krytých dluhopisů vyplácený fyzickým či právnickým osobám českým daňovým nerezidentům anebo fyzickým osobám českým daňovým rezidentům obecně podléhá srážkové dani vybírané u zdroje </w:t>
      </w:r>
      <w:r w:rsidRPr="005025CD">
        <w:rPr>
          <w:lang w:val="cs-CZ"/>
        </w:rPr>
        <w:lastRenderedPageBreak/>
        <w:t xml:space="preserve">(tj. Emitentem při úhradě výnosů z držby Krytých dluhopisů). V případě, že příjem podléhá srážkové dani, Emitent odpovídá za srážku daně u zdroje. </w:t>
      </w:r>
    </w:p>
    <w:p w:rsidR="00B90CA0" w:rsidRPr="005025CD" w:rsidRDefault="00B90CA0" w:rsidP="00B90CA0">
      <w:pPr>
        <w:pStyle w:val="DocText"/>
        <w:tabs>
          <w:tab w:val="clear" w:pos="720"/>
        </w:tabs>
        <w:spacing w:line="260" w:lineRule="atLeast"/>
        <w:ind w:left="0" w:firstLine="0"/>
        <w:rPr>
          <w:lang w:val="cs-CZ"/>
        </w:rPr>
      </w:pPr>
      <w:r w:rsidRPr="005025CD">
        <w:rPr>
          <w:lang w:val="cs-CZ"/>
        </w:rPr>
        <w:t>Bude-li vlastnictví, převod nebo výkon práv vyplývajících z Krytých dluhopisů podléhat jakékoli dani, nebude Emitent povinen hradit Vlastníkovi dluhopisu žádné částky jako náhradu v důsledku takových daní.</w:t>
      </w:r>
    </w:p>
    <w:p w:rsidR="00B90CA0" w:rsidRPr="005025CD" w:rsidRDefault="00B90CA0" w:rsidP="00B90CA0">
      <w:pPr>
        <w:pStyle w:val="DocText"/>
        <w:tabs>
          <w:tab w:val="clear" w:pos="720"/>
        </w:tabs>
        <w:spacing w:line="260" w:lineRule="atLeast"/>
        <w:ind w:left="0" w:firstLine="0"/>
        <w:rPr>
          <w:lang w:val="cs-CZ"/>
        </w:rPr>
      </w:pPr>
      <w:r w:rsidRPr="005025CD">
        <w:rPr>
          <w:lang w:val="cs-CZ"/>
        </w:rPr>
        <w:t>Daňové předpisy České republiky a daňové předpisy členského státu investora mohou mít dopad na příjem plynoucí z Krytých dluhopisů.</w:t>
      </w:r>
    </w:p>
    <w:p w:rsidR="00B90CA0" w:rsidRPr="005025CD" w:rsidRDefault="00B90CA0" w:rsidP="00B90CA0">
      <w:pPr>
        <w:pStyle w:val="Level1"/>
        <w:numPr>
          <w:ilvl w:val="0"/>
          <w:numId w:val="38"/>
        </w:numPr>
        <w:rPr>
          <w:rFonts w:hint="eastAsia"/>
          <w:u w:val="single"/>
          <w:lang w:val="cs-CZ"/>
        </w:rPr>
      </w:pPr>
      <w:bookmarkStart w:id="293" w:name="_Toc256000064"/>
      <w:bookmarkStart w:id="294" w:name="_Toc373436379"/>
      <w:bookmarkStart w:id="295" w:name="_Toc433993935"/>
      <w:bookmarkStart w:id="296" w:name="_Toc441155815"/>
      <w:bookmarkStart w:id="297" w:name="_Toc441755415"/>
      <w:bookmarkStart w:id="298" w:name="_Toc457259521"/>
      <w:bookmarkStart w:id="299" w:name="_Toc468696791"/>
      <w:bookmarkStart w:id="300" w:name="_Toc507159381"/>
      <w:bookmarkStart w:id="301" w:name="_Toc10478030"/>
      <w:r w:rsidRPr="005025CD">
        <w:rPr>
          <w:u w:val="single"/>
          <w:lang w:val="cs-CZ"/>
        </w:rPr>
        <w:t>Promlčení</w:t>
      </w:r>
      <w:bookmarkEnd w:id="293"/>
      <w:bookmarkEnd w:id="294"/>
      <w:bookmarkEnd w:id="295"/>
      <w:bookmarkEnd w:id="296"/>
      <w:bookmarkEnd w:id="297"/>
      <w:bookmarkEnd w:id="298"/>
      <w:bookmarkEnd w:id="299"/>
      <w:bookmarkEnd w:id="300"/>
      <w:bookmarkEnd w:id="301"/>
    </w:p>
    <w:p w:rsidR="00B90CA0" w:rsidRPr="005025CD" w:rsidRDefault="00B90CA0" w:rsidP="00B90CA0">
      <w:pPr>
        <w:pStyle w:val="DocText"/>
        <w:tabs>
          <w:tab w:val="clear" w:pos="720"/>
        </w:tabs>
        <w:spacing w:line="260" w:lineRule="atLeast"/>
        <w:ind w:left="0" w:firstLine="0"/>
        <w:rPr>
          <w:lang w:val="cs-CZ"/>
        </w:rPr>
      </w:pPr>
      <w:r w:rsidRPr="005025CD">
        <w:rPr>
          <w:lang w:val="cs-CZ"/>
        </w:rPr>
        <w:t>Práva spojená s Krytými dluhopisy se promlčují uplynutím deseti let ode dne, kdy mohla být uplatněna poprvé.</w:t>
      </w:r>
    </w:p>
    <w:p w:rsidR="00B90CA0" w:rsidRPr="005025CD" w:rsidRDefault="00B90CA0" w:rsidP="00B90CA0">
      <w:pPr>
        <w:pStyle w:val="Level1"/>
        <w:numPr>
          <w:ilvl w:val="0"/>
          <w:numId w:val="38"/>
        </w:numPr>
        <w:rPr>
          <w:rFonts w:hint="eastAsia"/>
          <w:u w:val="single"/>
          <w:lang w:val="cs-CZ"/>
        </w:rPr>
      </w:pPr>
      <w:bookmarkStart w:id="302" w:name="_Toc256000070"/>
      <w:bookmarkStart w:id="303" w:name="_Toc373436381"/>
      <w:bookmarkStart w:id="304" w:name="_Ref432101542"/>
      <w:bookmarkStart w:id="305" w:name="_Toc433993941"/>
      <w:bookmarkStart w:id="306" w:name="_Toc441155821"/>
      <w:bookmarkStart w:id="307" w:name="_Toc441755421"/>
      <w:bookmarkStart w:id="308" w:name="_Toc457259527"/>
      <w:bookmarkStart w:id="309" w:name="_Ref457477497"/>
      <w:bookmarkStart w:id="310" w:name="_Ref459797534"/>
      <w:bookmarkStart w:id="311" w:name="_Toc468696796"/>
      <w:bookmarkStart w:id="312" w:name="_Toc507159386"/>
      <w:bookmarkStart w:id="313" w:name="_Ref508201847"/>
      <w:bookmarkStart w:id="314" w:name="_Ref10463689"/>
      <w:bookmarkStart w:id="315" w:name="_Toc10478032"/>
      <w:r w:rsidRPr="005025CD">
        <w:rPr>
          <w:u w:val="single"/>
          <w:lang w:val="cs-CZ"/>
        </w:rPr>
        <w:t xml:space="preserve">Schůze a změny emisních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5025CD">
        <w:rPr>
          <w:u w:val="single"/>
          <w:lang w:val="cs-CZ"/>
        </w:rPr>
        <w:t>podmínek</w:t>
      </w:r>
    </w:p>
    <w:p w:rsidR="00B90CA0" w:rsidRPr="005025CD" w:rsidRDefault="00B90CA0" w:rsidP="00B90CA0">
      <w:pPr>
        <w:pStyle w:val="Level2"/>
        <w:numPr>
          <w:ilvl w:val="1"/>
          <w:numId w:val="38"/>
        </w:numPr>
        <w:rPr>
          <w:rFonts w:hint="eastAsia"/>
          <w:lang w:val="cs-CZ"/>
        </w:rPr>
      </w:pPr>
      <w:bookmarkStart w:id="316" w:name="_Toc256000071"/>
      <w:bookmarkStart w:id="317" w:name="_Toc433993942"/>
      <w:bookmarkStart w:id="318" w:name="_Toc441155822"/>
      <w:bookmarkStart w:id="319" w:name="_Toc441755422"/>
      <w:bookmarkStart w:id="320" w:name="_Toc457259528"/>
      <w:bookmarkStart w:id="321" w:name="_Toc468696797"/>
      <w:bookmarkStart w:id="322" w:name="_Toc507159387"/>
      <w:r w:rsidRPr="005025CD">
        <w:rPr>
          <w:lang w:val="cs-CZ"/>
        </w:rPr>
        <w:t xml:space="preserve">Působnost a svolání </w:t>
      </w:r>
      <w:bookmarkEnd w:id="316"/>
      <w:bookmarkEnd w:id="317"/>
      <w:bookmarkEnd w:id="318"/>
      <w:bookmarkEnd w:id="319"/>
      <w:bookmarkEnd w:id="320"/>
      <w:bookmarkEnd w:id="321"/>
      <w:bookmarkEnd w:id="322"/>
      <w:r w:rsidRPr="005025CD">
        <w:rPr>
          <w:lang w:val="cs-CZ"/>
        </w:rPr>
        <w:t xml:space="preserve">schůze </w:t>
      </w:r>
    </w:p>
    <w:p w:rsidR="00B90CA0" w:rsidRPr="005025CD" w:rsidRDefault="00B90CA0" w:rsidP="00B90CA0">
      <w:pPr>
        <w:pStyle w:val="Level3"/>
        <w:numPr>
          <w:ilvl w:val="2"/>
          <w:numId w:val="38"/>
        </w:numPr>
        <w:rPr>
          <w:rFonts w:hint="eastAsia"/>
          <w:lang w:val="cs-CZ"/>
        </w:rPr>
      </w:pPr>
      <w:bookmarkStart w:id="323" w:name="_Ref505111328"/>
      <w:bookmarkStart w:id="324" w:name="pravo"/>
      <w:r w:rsidRPr="005025CD">
        <w:rPr>
          <w:lang w:val="cs-CZ"/>
        </w:rPr>
        <w:t xml:space="preserve">Právo svolat </w:t>
      </w:r>
      <w:bookmarkEnd w:id="323"/>
      <w:r w:rsidRPr="005025CD">
        <w:rPr>
          <w:lang w:val="cs-CZ"/>
        </w:rPr>
        <w:t>schůzi</w:t>
      </w:r>
    </w:p>
    <w:bookmarkEnd w:id="324"/>
    <w:p w:rsidR="00B90CA0" w:rsidRPr="005025CD" w:rsidRDefault="00B90CA0" w:rsidP="00B90CA0">
      <w:pPr>
        <w:pStyle w:val="DocText"/>
        <w:tabs>
          <w:tab w:val="clear" w:pos="720"/>
        </w:tabs>
        <w:spacing w:line="260" w:lineRule="atLeast"/>
        <w:ind w:left="0" w:firstLine="0"/>
        <w:rPr>
          <w:lang w:val="cs-CZ"/>
        </w:rPr>
      </w:pPr>
      <w:r w:rsidRPr="005025CD">
        <w:rPr>
          <w:lang w:val="cs-CZ"/>
        </w:rPr>
        <w:t>Emitent, Vlastník dluhopisu nebo Vlastníci dluhopisů mohou svolat schůzi Vlastníků dluhopisů (</w:t>
      </w:r>
      <w:r w:rsidRPr="005025CD">
        <w:rPr>
          <w:b/>
          <w:lang w:val="cs-CZ"/>
        </w:rPr>
        <w:t>Schůze</w:t>
      </w:r>
      <w:r w:rsidRPr="005025CD">
        <w:rPr>
          <w:b/>
          <w:lang w:val="cs-CZ"/>
        </w:rPr>
        <w:fldChar w:fldCharType="begin"/>
      </w:r>
      <w:r w:rsidRPr="005025CD">
        <w:rPr>
          <w:lang w:val="cs-CZ"/>
        </w:rPr>
        <w:instrText xml:space="preserve"> XE "Schůze" </w:instrText>
      </w:r>
      <w:r w:rsidRPr="005025CD">
        <w:rPr>
          <w:b/>
          <w:lang w:val="cs-CZ"/>
        </w:rPr>
        <w:fldChar w:fldCharType="end"/>
      </w:r>
      <w:r w:rsidRPr="005025CD">
        <w:rPr>
          <w:lang w:val="cs-CZ"/>
        </w:rPr>
        <w:t xml:space="preserve">) pouze v případech: </w:t>
      </w:r>
    </w:p>
    <w:p w:rsidR="00B90CA0" w:rsidRPr="005025CD" w:rsidRDefault="00B90CA0" w:rsidP="00B90CA0">
      <w:pPr>
        <w:pStyle w:val="DocText"/>
        <w:tabs>
          <w:tab w:val="clear" w:pos="720"/>
        </w:tabs>
        <w:spacing w:line="260" w:lineRule="atLeast"/>
        <w:ind w:left="0" w:firstLine="0"/>
        <w:rPr>
          <w:lang w:val="cs-CZ"/>
        </w:rPr>
      </w:pPr>
      <w:r w:rsidRPr="005025CD">
        <w:rPr>
          <w:lang w:val="cs-CZ"/>
        </w:rPr>
        <w:t>(a)</w:t>
      </w:r>
      <w:r w:rsidRPr="005025CD">
        <w:rPr>
          <w:lang w:val="cs-CZ"/>
        </w:rPr>
        <w:tab/>
        <w:t xml:space="preserve">stanovených Emisními podmínkami, platnými právními předpisy a v souladu s nimi a </w:t>
      </w:r>
    </w:p>
    <w:p w:rsidR="00B90CA0" w:rsidRPr="005025CD" w:rsidRDefault="00B90CA0" w:rsidP="00B90CA0">
      <w:pPr>
        <w:pStyle w:val="DocText"/>
        <w:tabs>
          <w:tab w:val="clear" w:pos="720"/>
        </w:tabs>
        <w:spacing w:line="260" w:lineRule="atLeast"/>
        <w:ind w:left="0" w:firstLine="0"/>
        <w:rPr>
          <w:lang w:val="cs-CZ"/>
        </w:rPr>
      </w:pPr>
      <w:r w:rsidRPr="005025CD">
        <w:rPr>
          <w:lang w:val="cs-CZ"/>
        </w:rPr>
        <w:t>(b)</w:t>
      </w:r>
      <w:r w:rsidRPr="005025CD">
        <w:rPr>
          <w:lang w:val="cs-CZ"/>
        </w:rPr>
        <w:tab/>
        <w:t xml:space="preserve">kdy Emitent Schůzi nesvolal, přestože měl povinnost tak učinit. </w:t>
      </w:r>
    </w:p>
    <w:p w:rsidR="00B90CA0" w:rsidRPr="005025CD" w:rsidRDefault="00B90CA0" w:rsidP="00B90CA0">
      <w:pPr>
        <w:pStyle w:val="DocText"/>
        <w:tabs>
          <w:tab w:val="clear" w:pos="720"/>
        </w:tabs>
        <w:spacing w:line="260" w:lineRule="atLeast"/>
        <w:ind w:left="0" w:firstLine="0"/>
        <w:rPr>
          <w:lang w:val="cs-CZ"/>
        </w:rPr>
      </w:pPr>
      <w:r w:rsidRPr="005025CD">
        <w:rPr>
          <w:lang w:val="cs-CZ"/>
        </w:rPr>
        <w:t>Náklady na organizaci, svolání a konání Schůze hradí svolavatel, ledaže jde o případ, kdy Emitent porušil svou povinnost svolat Schůzi, přičemž v takovém případě hradí náklady na organizaci, svolání a konání Schůze Emitent. Náklady spojené s účastí na Schůzi si hradí každý účastník sám.</w:t>
      </w:r>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Svolavatel, Vlastník dluhopisů nebo Vlastníci dluhopisů, je povinen nejpozději v den uveřejnění oznámení o svolání Schůze podle </w:t>
      </w:r>
      <w:proofErr w:type="gramStart"/>
      <w:r w:rsidRPr="005025CD">
        <w:rPr>
          <w:lang w:val="cs-CZ"/>
        </w:rPr>
        <w:t xml:space="preserve">článku </w:t>
      </w:r>
      <w:r w:rsidRPr="005025CD">
        <w:rPr>
          <w:lang w:val="cs-CZ"/>
        </w:rPr>
        <w:fldChar w:fldCharType="begin"/>
      </w:r>
      <w:r w:rsidRPr="005025CD">
        <w:rPr>
          <w:lang w:val="cs-CZ"/>
        </w:rPr>
        <w:instrText xml:space="preserve"> REF _Ref426652839 \w \h </w:instrText>
      </w:r>
      <w:r>
        <w:rPr>
          <w:lang w:val="cs-CZ"/>
        </w:rPr>
        <w:instrText xml:space="preserve"> \* MERGEFORMAT </w:instrText>
      </w:r>
      <w:r w:rsidRPr="005025CD">
        <w:rPr>
          <w:lang w:val="cs-CZ"/>
        </w:rPr>
      </w:r>
      <w:r w:rsidRPr="005025CD">
        <w:rPr>
          <w:lang w:val="cs-CZ"/>
        </w:rPr>
        <w:fldChar w:fldCharType="separate"/>
      </w:r>
      <w:r w:rsidR="00723DD2">
        <w:rPr>
          <w:lang w:val="cs-CZ"/>
        </w:rPr>
        <w:t>9.1.3</w:t>
      </w:r>
      <w:proofErr w:type="gramEnd"/>
      <w:r w:rsidRPr="005025CD">
        <w:rPr>
          <w:lang w:val="cs-CZ"/>
        </w:rPr>
        <w:fldChar w:fldCharType="end"/>
      </w:r>
      <w:r w:rsidRPr="005025CD">
        <w:rPr>
          <w:lang w:val="cs-CZ"/>
        </w:rPr>
        <w:t xml:space="preserve"> (i) doručit Emitentovi žádost o obstarání výpisu z evidence Emise (tj. dokladu o počtu všech Krytých dluhopisů opravňujících k účasti na Schůzi), a (</w:t>
      </w:r>
      <w:proofErr w:type="spellStart"/>
      <w:r w:rsidRPr="005025CD">
        <w:rPr>
          <w:lang w:val="cs-CZ"/>
        </w:rPr>
        <w:t>ii</w:t>
      </w:r>
      <w:proofErr w:type="spellEnd"/>
      <w:r w:rsidRPr="005025CD">
        <w:rPr>
          <w:lang w:val="cs-CZ"/>
        </w:rPr>
        <w:t>) uhradit Emitentovi zálohu na jeho náklady související s přípravou a konáním Schůze (podmínky (i) a (</w:t>
      </w:r>
      <w:proofErr w:type="spellStart"/>
      <w:r w:rsidRPr="005025CD">
        <w:rPr>
          <w:lang w:val="cs-CZ"/>
        </w:rPr>
        <w:t>ii</w:t>
      </w:r>
      <w:proofErr w:type="spellEnd"/>
      <w:r w:rsidRPr="005025CD">
        <w:rPr>
          <w:lang w:val="cs-CZ"/>
        </w:rPr>
        <w:t>) jsou předpokladem pro účinné svolání Schůze).</w:t>
      </w:r>
    </w:p>
    <w:p w:rsidR="00B90CA0" w:rsidRPr="005025CD" w:rsidRDefault="00B90CA0" w:rsidP="00B90CA0">
      <w:pPr>
        <w:pStyle w:val="Level3"/>
        <w:numPr>
          <w:ilvl w:val="2"/>
          <w:numId w:val="38"/>
        </w:numPr>
        <w:rPr>
          <w:rFonts w:hint="eastAsia"/>
          <w:lang w:val="cs-CZ"/>
        </w:rPr>
      </w:pPr>
      <w:bookmarkStart w:id="325" w:name="_Ref426652884"/>
      <w:bookmarkStart w:id="326" w:name="_Ref432089606"/>
      <w:r w:rsidRPr="005025CD">
        <w:rPr>
          <w:lang w:val="cs-CZ"/>
        </w:rPr>
        <w:t xml:space="preserve">Schůze svolávaná </w:t>
      </w:r>
      <w:bookmarkEnd w:id="325"/>
      <w:bookmarkEnd w:id="326"/>
      <w:r w:rsidRPr="005025CD">
        <w:rPr>
          <w:lang w:val="cs-CZ"/>
        </w:rPr>
        <w:t>emitentem</w:t>
      </w:r>
    </w:p>
    <w:p w:rsidR="00B90CA0" w:rsidRPr="005025CD" w:rsidRDefault="00B90CA0" w:rsidP="00B90CA0">
      <w:pPr>
        <w:pStyle w:val="DocText"/>
        <w:tabs>
          <w:tab w:val="clear" w:pos="720"/>
        </w:tabs>
        <w:spacing w:line="260" w:lineRule="atLeast"/>
        <w:ind w:left="0" w:firstLine="0"/>
        <w:rPr>
          <w:lang w:val="cs-CZ"/>
        </w:rPr>
      </w:pPr>
      <w:r w:rsidRPr="005025CD">
        <w:rPr>
          <w:lang w:val="cs-CZ"/>
        </w:rPr>
        <w:t>Emitent je povinen neprodleně svolat Schůzi a vyžádat si jejím prostřednictvím stanovisko Vlastníků dluhopisů pouze v případě:</w:t>
      </w:r>
    </w:p>
    <w:p w:rsidR="00B90CA0" w:rsidRPr="005025CD" w:rsidRDefault="00B90CA0" w:rsidP="00B90CA0">
      <w:pPr>
        <w:pStyle w:val="Level4"/>
        <w:numPr>
          <w:ilvl w:val="3"/>
          <w:numId w:val="38"/>
        </w:numPr>
        <w:rPr>
          <w:lang w:val="cs-CZ"/>
        </w:rPr>
      </w:pPr>
      <w:r w:rsidRPr="005025CD">
        <w:rPr>
          <w:lang w:val="cs-CZ"/>
        </w:rPr>
        <w:t>návrhu změny Emisních podmínek, pokud se souhlas Schůze ke změně emisních podmínek dle Zákona o dluhopisech vyžaduje (</w:t>
      </w:r>
      <w:r w:rsidRPr="005025CD">
        <w:rPr>
          <w:b/>
          <w:lang w:val="cs-CZ"/>
        </w:rPr>
        <w:t>Změna emisních podmínek</w:t>
      </w:r>
      <w:r w:rsidRPr="005025CD">
        <w:rPr>
          <w:b/>
          <w:lang w:val="cs-CZ"/>
        </w:rPr>
        <w:fldChar w:fldCharType="begin"/>
      </w:r>
      <w:r w:rsidRPr="005025CD">
        <w:instrText xml:space="preserve"> XE "</w:instrText>
      </w:r>
      <w:r w:rsidRPr="005025CD">
        <w:rPr>
          <w:lang w:val="cs-CZ"/>
        </w:rPr>
        <w:instrText>Změna emisních podmínek</w:instrText>
      </w:r>
      <w:r w:rsidRPr="005025CD">
        <w:instrText xml:space="preserve">" </w:instrText>
      </w:r>
      <w:r w:rsidRPr="005025CD">
        <w:rPr>
          <w:b/>
          <w:lang w:val="cs-CZ"/>
        </w:rPr>
        <w:fldChar w:fldCharType="end"/>
      </w:r>
      <w:r w:rsidRPr="005025CD">
        <w:rPr>
          <w:lang w:val="cs-CZ"/>
        </w:rPr>
        <w:t xml:space="preserve">), a </w:t>
      </w:r>
    </w:p>
    <w:p w:rsidR="00B90CA0" w:rsidRPr="005025CD" w:rsidRDefault="00B90CA0" w:rsidP="00B90CA0">
      <w:pPr>
        <w:pStyle w:val="Level4"/>
        <w:numPr>
          <w:ilvl w:val="3"/>
          <w:numId w:val="38"/>
        </w:numPr>
        <w:rPr>
          <w:lang w:val="cs-CZ"/>
        </w:rPr>
      </w:pPr>
      <w:r w:rsidRPr="005025CD">
        <w:rPr>
          <w:lang w:val="cs-CZ"/>
        </w:rPr>
        <w:t xml:space="preserve">jestliže nastaly jiné důvody, z kterých je svolání a konání Schůze vyžadováno podle Zákona o dluhopisech včetně § 21 odst. 1 písm. a) tohoto zákona (společně se Změnou emisních podmínek </w:t>
      </w:r>
      <w:r w:rsidRPr="005025CD">
        <w:rPr>
          <w:b/>
          <w:lang w:val="cs-CZ"/>
        </w:rPr>
        <w:t>Změna zásadní povahy</w:t>
      </w:r>
      <w:r w:rsidRPr="005025CD">
        <w:rPr>
          <w:lang w:val="cs-CZ"/>
        </w:rPr>
        <w:fldChar w:fldCharType="begin"/>
      </w:r>
      <w:r w:rsidRPr="005025CD">
        <w:rPr>
          <w:lang w:val="cs-CZ"/>
        </w:rPr>
        <w:instrText xml:space="preserve"> XE "Změna zásadní povahy" </w:instrText>
      </w:r>
      <w:r w:rsidRPr="005025CD">
        <w:rPr>
          <w:lang w:val="cs-CZ"/>
        </w:rPr>
        <w:fldChar w:fldCharType="end"/>
      </w:r>
      <w:r w:rsidRPr="005025CD">
        <w:rPr>
          <w:lang w:val="cs-CZ"/>
        </w:rPr>
        <w:t>).</w:t>
      </w:r>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Emitent je oprávněn svolat Schůzi k navržení společného postupu, pokud by podle jeho názoru mohl materiálně porušit své povinnosti stanovené těmito Emisními podmínkami. </w:t>
      </w:r>
    </w:p>
    <w:p w:rsidR="00B90CA0" w:rsidRPr="005025CD" w:rsidRDefault="00B90CA0" w:rsidP="00B90CA0">
      <w:pPr>
        <w:pStyle w:val="DocText"/>
        <w:tabs>
          <w:tab w:val="clear" w:pos="720"/>
        </w:tabs>
        <w:spacing w:line="260" w:lineRule="atLeast"/>
        <w:ind w:left="0" w:firstLine="0"/>
        <w:rPr>
          <w:lang w:val="cs-CZ"/>
        </w:rPr>
      </w:pPr>
      <w:r w:rsidRPr="005025CD">
        <w:rPr>
          <w:lang w:val="cs-CZ"/>
        </w:rPr>
        <w:t>Emitent není povinen svolat Schůzi v jiných případech než těch stanovených výše.</w:t>
      </w:r>
    </w:p>
    <w:p w:rsidR="00B90CA0" w:rsidRPr="005025CD" w:rsidRDefault="00B90CA0" w:rsidP="00B90CA0">
      <w:pPr>
        <w:pStyle w:val="Level3"/>
        <w:numPr>
          <w:ilvl w:val="2"/>
          <w:numId w:val="38"/>
        </w:numPr>
        <w:rPr>
          <w:rFonts w:hint="eastAsia"/>
          <w:lang w:val="cs-CZ"/>
        </w:rPr>
      </w:pPr>
      <w:bookmarkStart w:id="327" w:name="_Ref426652839"/>
      <w:r w:rsidRPr="005025CD">
        <w:rPr>
          <w:lang w:val="cs-CZ"/>
        </w:rPr>
        <w:lastRenderedPageBreak/>
        <w:t xml:space="preserve">Oznámení o svolání </w:t>
      </w:r>
      <w:bookmarkEnd w:id="327"/>
      <w:r w:rsidRPr="005025CD">
        <w:rPr>
          <w:lang w:val="cs-CZ"/>
        </w:rPr>
        <w:t>schůze</w:t>
      </w:r>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Oznámení o svolání Schůze je svolavatel povinen uveřejnit způsobem stanoveným v článku </w:t>
      </w:r>
      <w:r w:rsidRPr="005025CD">
        <w:rPr>
          <w:lang w:val="cs-CZ"/>
        </w:rPr>
        <w:fldChar w:fldCharType="begin"/>
      </w:r>
      <w:r w:rsidRPr="005025CD">
        <w:rPr>
          <w:lang w:val="cs-CZ"/>
        </w:rPr>
        <w:instrText xml:space="preserve"> REF _Ref435782311 \r \h  \* MERGEFORMAT </w:instrText>
      </w:r>
      <w:r w:rsidRPr="005025CD">
        <w:rPr>
          <w:lang w:val="cs-CZ"/>
        </w:rPr>
      </w:r>
      <w:r w:rsidRPr="005025CD">
        <w:rPr>
          <w:lang w:val="cs-CZ"/>
        </w:rPr>
        <w:fldChar w:fldCharType="separate"/>
      </w:r>
      <w:r w:rsidR="00723DD2">
        <w:rPr>
          <w:lang w:val="cs-CZ"/>
        </w:rPr>
        <w:t>11</w:t>
      </w:r>
      <w:r w:rsidRPr="005025CD">
        <w:rPr>
          <w:lang w:val="cs-CZ"/>
        </w:rPr>
        <w:fldChar w:fldCharType="end"/>
      </w:r>
      <w:r w:rsidRPr="005025CD">
        <w:rPr>
          <w:lang w:val="cs-CZ"/>
        </w:rPr>
        <w:t xml:space="preserve">, a to nejpozději 15 dnů před dnem konání Schůze. Je-li svolavatelem Vlastník dluhopisů nebo Vlastníci dluhopisů, je povinen ve stejné lhůtě doručit oznámení o svolání Schůze (se všemi zákonnými náležitostmi) doručeným Emitentovi, přičemž Emitent zajistí oznámit či uveřejnění takového oznámení dle článku </w:t>
      </w:r>
      <w:r w:rsidRPr="005025CD">
        <w:rPr>
          <w:lang w:val="cs-CZ"/>
        </w:rPr>
        <w:fldChar w:fldCharType="begin"/>
      </w:r>
      <w:r w:rsidRPr="005025CD">
        <w:rPr>
          <w:lang w:val="cs-CZ"/>
        </w:rPr>
        <w:instrText xml:space="preserve"> REF _Ref435782311 \r \h  \* MERGEFORMAT </w:instrText>
      </w:r>
      <w:r w:rsidRPr="005025CD">
        <w:rPr>
          <w:lang w:val="cs-CZ"/>
        </w:rPr>
      </w:r>
      <w:r w:rsidRPr="005025CD">
        <w:rPr>
          <w:lang w:val="cs-CZ"/>
        </w:rPr>
        <w:fldChar w:fldCharType="separate"/>
      </w:r>
      <w:r w:rsidR="00723DD2">
        <w:rPr>
          <w:lang w:val="cs-CZ"/>
        </w:rPr>
        <w:t>11</w:t>
      </w:r>
      <w:r w:rsidRPr="005025CD">
        <w:rPr>
          <w:lang w:val="cs-CZ"/>
        </w:rPr>
        <w:fldChar w:fldCharType="end"/>
      </w:r>
      <w:r w:rsidRPr="005025CD">
        <w:rPr>
          <w:lang w:val="cs-CZ"/>
        </w:rPr>
        <w:t>. Oznámení o svolání Schůze musí obsahovat alespoň (i) obchodní firmu, IČO a sídlo Emitenta, (</w:t>
      </w:r>
      <w:proofErr w:type="spellStart"/>
      <w:r w:rsidRPr="005025CD">
        <w:rPr>
          <w:lang w:val="cs-CZ"/>
        </w:rPr>
        <w:t>ii</w:t>
      </w:r>
      <w:proofErr w:type="spellEnd"/>
      <w:r w:rsidRPr="005025CD">
        <w:rPr>
          <w:lang w:val="cs-CZ"/>
        </w:rPr>
        <w:t>) označení Krytých dluhopisů obsahujícím alespoň název Krytého dluhopisu, Datum emise a ISIN, (</w:t>
      </w:r>
      <w:proofErr w:type="spellStart"/>
      <w:r w:rsidRPr="005025CD">
        <w:rPr>
          <w:lang w:val="cs-CZ"/>
        </w:rPr>
        <w:t>iii</w:t>
      </w:r>
      <w:proofErr w:type="spellEnd"/>
      <w:r w:rsidRPr="005025CD">
        <w:rPr>
          <w:lang w:val="cs-CZ"/>
        </w:rPr>
        <w:t>) místo, datum a hodinu konání Schůze, přičemž datum konání Schůze musí připadat na Pracovní den a hodina konání Schůze nesmí být dříve než v 11.00 hod., (</w:t>
      </w:r>
      <w:proofErr w:type="spellStart"/>
      <w:r w:rsidRPr="005025CD">
        <w:rPr>
          <w:lang w:val="cs-CZ"/>
        </w:rPr>
        <w:t>iv</w:t>
      </w:r>
      <w:proofErr w:type="spellEnd"/>
      <w:r w:rsidRPr="005025CD">
        <w:rPr>
          <w:lang w:val="cs-CZ"/>
        </w:rPr>
        <w:t xml:space="preserve">) program jednání Schůze a, je-li navrhována změna ve smyslu </w:t>
      </w:r>
      <w:proofErr w:type="gramStart"/>
      <w:r w:rsidRPr="005025CD">
        <w:rPr>
          <w:lang w:val="cs-CZ"/>
        </w:rPr>
        <w:t xml:space="preserve">článku </w:t>
      </w:r>
      <w:r w:rsidRPr="005025CD">
        <w:rPr>
          <w:lang w:val="cs-CZ"/>
        </w:rPr>
        <w:fldChar w:fldCharType="begin"/>
      </w:r>
      <w:r w:rsidRPr="005025CD">
        <w:rPr>
          <w:lang w:val="cs-CZ"/>
        </w:rPr>
        <w:instrText xml:space="preserve"> REF _Ref426652884 \w \h  \* MERGEFORMAT </w:instrText>
      </w:r>
      <w:r w:rsidRPr="005025CD">
        <w:rPr>
          <w:lang w:val="cs-CZ"/>
        </w:rPr>
      </w:r>
      <w:r w:rsidRPr="005025CD">
        <w:rPr>
          <w:lang w:val="cs-CZ"/>
        </w:rPr>
        <w:fldChar w:fldCharType="separate"/>
      </w:r>
      <w:r w:rsidR="00723DD2">
        <w:rPr>
          <w:lang w:val="cs-CZ"/>
        </w:rPr>
        <w:t>9.1.2</w:t>
      </w:r>
      <w:proofErr w:type="gramEnd"/>
      <w:r w:rsidRPr="005025CD">
        <w:rPr>
          <w:lang w:val="cs-CZ"/>
        </w:rPr>
        <w:fldChar w:fldCharType="end"/>
      </w:r>
      <w:r w:rsidRPr="005025CD">
        <w:rPr>
          <w:lang w:val="cs-CZ"/>
        </w:rPr>
        <w:t>, vymezení návrhu změny a její zdůvodnění a (v) Rozhodný den pro účast na schůzi. Schůze je oprávněna rozhodovat pouze o návrzích usnesení uvedených v oznámení o jejím svolání. Záležitosti, které nebyly zařazeny na navrhovaný program jednání Schůze, lze rozhodnout jen za účasti a se souhlasem všech Vlastníků dluhopisů. Odpadne-li důvod pro svolání Schůze, odvolá ji svolavatel stejným způsobem, jakým byla svolána.</w:t>
      </w:r>
    </w:p>
    <w:p w:rsidR="00B90CA0" w:rsidRPr="005025CD" w:rsidRDefault="00B90CA0" w:rsidP="00B90CA0">
      <w:pPr>
        <w:pStyle w:val="Level2"/>
        <w:numPr>
          <w:ilvl w:val="1"/>
          <w:numId w:val="38"/>
        </w:numPr>
        <w:rPr>
          <w:rFonts w:hint="eastAsia"/>
          <w:lang w:val="cs-CZ"/>
        </w:rPr>
      </w:pPr>
      <w:bookmarkStart w:id="328" w:name="_Toc256000072"/>
      <w:bookmarkStart w:id="329" w:name="_Toc433993943"/>
      <w:bookmarkStart w:id="330" w:name="_Toc441155823"/>
      <w:bookmarkStart w:id="331" w:name="_Toc441755423"/>
      <w:bookmarkStart w:id="332" w:name="_Toc457259529"/>
      <w:bookmarkStart w:id="333" w:name="_Toc468696798"/>
      <w:bookmarkStart w:id="334" w:name="_Toc507159388"/>
      <w:r w:rsidRPr="005025CD">
        <w:rPr>
          <w:lang w:val="cs-CZ"/>
        </w:rPr>
        <w:t>Osoby oprávněné účastnit se schůze a hlasovat na ní</w:t>
      </w:r>
      <w:bookmarkEnd w:id="328"/>
      <w:bookmarkEnd w:id="329"/>
      <w:bookmarkEnd w:id="330"/>
      <w:bookmarkEnd w:id="331"/>
      <w:bookmarkEnd w:id="332"/>
      <w:bookmarkEnd w:id="333"/>
      <w:bookmarkEnd w:id="334"/>
    </w:p>
    <w:p w:rsidR="00B90CA0" w:rsidRPr="005025CD" w:rsidRDefault="00B90CA0" w:rsidP="00B90CA0">
      <w:pPr>
        <w:pStyle w:val="Level3"/>
        <w:numPr>
          <w:ilvl w:val="2"/>
          <w:numId w:val="38"/>
        </w:numPr>
        <w:rPr>
          <w:rFonts w:hint="eastAsia"/>
          <w:lang w:val="cs-CZ"/>
        </w:rPr>
      </w:pPr>
      <w:bookmarkStart w:id="335" w:name="_Ref426727240"/>
      <w:r w:rsidRPr="005025CD">
        <w:rPr>
          <w:lang w:val="cs-CZ"/>
        </w:rPr>
        <w:t xml:space="preserve">Osoby oprávněné účastnit se </w:t>
      </w:r>
      <w:bookmarkEnd w:id="335"/>
      <w:r w:rsidRPr="005025CD">
        <w:rPr>
          <w:lang w:val="cs-CZ"/>
        </w:rPr>
        <w:t>schůze</w:t>
      </w:r>
    </w:p>
    <w:p w:rsidR="00B90CA0" w:rsidRPr="005025CD" w:rsidRDefault="00B90CA0" w:rsidP="00B90CA0">
      <w:pPr>
        <w:pStyle w:val="DocText"/>
        <w:tabs>
          <w:tab w:val="clear" w:pos="720"/>
        </w:tabs>
        <w:spacing w:line="260" w:lineRule="atLeast"/>
        <w:ind w:left="0" w:firstLine="0"/>
        <w:rPr>
          <w:lang w:val="cs-CZ"/>
        </w:rPr>
      </w:pPr>
      <w:r w:rsidRPr="005025CD">
        <w:rPr>
          <w:lang w:val="cs-CZ"/>
        </w:rPr>
        <w:t>Schůze je oprávněn se účastnit a hlasovat na ní pouze (i) Vlastník dluhopisů, který byl evidován jako Vlastník dluhopisů v evidenci Emise vedené Centrálním depozitářem a je uveden ve výpisu z evidence Emise ke konci sedmého dne před datem příslušné Schůze (</w:t>
      </w:r>
      <w:r w:rsidRPr="005025CD">
        <w:rPr>
          <w:b/>
          <w:lang w:val="cs-CZ"/>
        </w:rPr>
        <w:t>Rozhodný den pro účast na schůzi</w:t>
      </w:r>
      <w:r w:rsidRPr="005025CD">
        <w:rPr>
          <w:b/>
          <w:lang w:val="cs-CZ"/>
        </w:rPr>
        <w:fldChar w:fldCharType="begin"/>
      </w:r>
      <w:r w:rsidRPr="005025CD">
        <w:rPr>
          <w:lang w:val="cs-CZ"/>
        </w:rPr>
        <w:instrText xml:space="preserve"> XE "Rozhodný den pro účast na schůzi" </w:instrText>
      </w:r>
      <w:r w:rsidRPr="005025CD">
        <w:rPr>
          <w:b/>
          <w:lang w:val="cs-CZ"/>
        </w:rPr>
        <w:fldChar w:fldCharType="end"/>
      </w:r>
      <w:r w:rsidRPr="005025CD">
        <w:rPr>
          <w:lang w:val="cs-CZ"/>
        </w:rPr>
        <w:t>), nebo (</w:t>
      </w:r>
      <w:proofErr w:type="spellStart"/>
      <w:r w:rsidRPr="005025CD">
        <w:rPr>
          <w:lang w:val="cs-CZ"/>
        </w:rPr>
        <w:t>ii</w:t>
      </w:r>
      <w:proofErr w:type="spellEnd"/>
      <w:r w:rsidRPr="005025CD">
        <w:rPr>
          <w:lang w:val="cs-CZ"/>
        </w:rPr>
        <w:t>) osoba, která Emitentovi poskytne potvrzení od správce, na jehož účtu zákazníka v Centrálním depozitáři byl příslušný počet Krytých dluhopisů evidován k Rozhodnému dni pro účast na schůzi o tom, že k Rozhodnému dni pro účast na schůzi byla Vlastníkem dluhopisů a že Kryté dluhopisy držené touto osobou jsou evidovány na účtu správce z důvodu jejich správy (</w:t>
      </w:r>
      <w:r w:rsidRPr="005025CD">
        <w:rPr>
          <w:b/>
          <w:lang w:val="cs-CZ"/>
        </w:rPr>
        <w:t>Osoba oprávněná k účasti na schůzi</w:t>
      </w:r>
      <w:r w:rsidRPr="005025CD">
        <w:rPr>
          <w:lang w:val="cs-CZ"/>
        </w:rPr>
        <w:fldChar w:fldCharType="begin"/>
      </w:r>
      <w:r w:rsidRPr="005025CD">
        <w:rPr>
          <w:lang w:val="cs-CZ"/>
        </w:rPr>
        <w:instrText xml:space="preserve"> XE "Osoba oprávněná k účasti na schůzi" </w:instrText>
      </w:r>
      <w:r w:rsidRPr="005025CD">
        <w:rPr>
          <w:lang w:val="cs-CZ"/>
        </w:rPr>
        <w:fldChar w:fldCharType="end"/>
      </w:r>
      <w:r w:rsidRPr="005025CD">
        <w:rPr>
          <w:lang w:val="cs-CZ"/>
        </w:rPr>
        <w:t>). Potvrzení podle předchozí věty musí být písemné (s úředně ověřenými podpisy) a v souladu s požadavky Emitenta ohledně obsahu i formy. Pokud je správce právnickou osobou, Emitent je oprávněn požadovat, aby k tomuto potvrzení byl přiložen originál nebo úředně ověřená kopie výpisu správce z obchodního rejstříku nebo jiného příslušného rejstříku ne starší než tři měsíce před datem příslušné Schůze. K případným převodům Krytých dluhopisů uskutečněným po Rozhodném dni pro účast na schůzi se nepřihlíží.</w:t>
      </w:r>
    </w:p>
    <w:p w:rsidR="00B90CA0" w:rsidRPr="005025CD" w:rsidRDefault="00B90CA0" w:rsidP="00B90CA0">
      <w:pPr>
        <w:pStyle w:val="Level3"/>
        <w:numPr>
          <w:ilvl w:val="2"/>
          <w:numId w:val="38"/>
        </w:numPr>
        <w:rPr>
          <w:rFonts w:hint="eastAsia"/>
          <w:lang w:val="cs-CZ"/>
        </w:rPr>
      </w:pPr>
      <w:r w:rsidRPr="005025CD">
        <w:rPr>
          <w:lang w:val="cs-CZ"/>
        </w:rPr>
        <w:t>Hlasovací právo</w:t>
      </w:r>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Počet hlasů náležejících Osobě oprávněné k účasti na schůzi odpovídá poměru nesplacené jmenovité hodnoty Krytých dluhopisů, které vlastní k Rozhodnému dni pro účast na schůzi, a celkové nesplacené jmenovité hodnoty Emise k Rozhodnému dni pro účast na schůzi. S Krytými dluhopisy, které byly v majetku Emitenta k Rozhodnému dni pro účast na schůzi a které k tomuto dni nezanikly z rozhodnutí Emitenta ve smyslu </w:t>
      </w:r>
      <w:proofErr w:type="gramStart"/>
      <w:r w:rsidRPr="005025CD">
        <w:rPr>
          <w:lang w:val="cs-CZ"/>
        </w:rPr>
        <w:t xml:space="preserve">článku </w:t>
      </w:r>
      <w:r w:rsidRPr="005025CD">
        <w:rPr>
          <w:lang w:val="cs-CZ"/>
        </w:rPr>
        <w:fldChar w:fldCharType="begin"/>
      </w:r>
      <w:r w:rsidRPr="005025CD">
        <w:rPr>
          <w:lang w:val="cs-CZ"/>
        </w:rPr>
        <w:instrText xml:space="preserve"> REF _Ref426653105 \n \h  \* MERGEFORMAT </w:instrText>
      </w:r>
      <w:r w:rsidRPr="005025CD">
        <w:rPr>
          <w:lang w:val="cs-CZ"/>
        </w:rPr>
      </w:r>
      <w:r w:rsidRPr="005025CD">
        <w:rPr>
          <w:lang w:val="cs-CZ"/>
        </w:rPr>
        <w:fldChar w:fldCharType="separate"/>
      </w:r>
      <w:r w:rsidR="00723DD2">
        <w:rPr>
          <w:lang w:val="cs-CZ"/>
        </w:rPr>
        <w:t>5.3</w:t>
      </w:r>
      <w:r w:rsidRPr="005025CD">
        <w:rPr>
          <w:lang w:val="cs-CZ"/>
        </w:rPr>
        <w:fldChar w:fldCharType="end"/>
      </w:r>
      <w:r w:rsidRPr="005025CD">
        <w:rPr>
          <w:lang w:val="cs-CZ"/>
        </w:rPr>
        <w:t>, není</w:t>
      </w:r>
      <w:proofErr w:type="gramEnd"/>
      <w:r w:rsidRPr="005025CD">
        <w:rPr>
          <w:lang w:val="cs-CZ"/>
        </w:rPr>
        <w:t xml:space="preserve"> spojeno hlasovací právo. Rozhoduje-li Schůze o odvolání společného zástupce, nemůže společný zástupce (je-li Osobou oprávněnou k účasti na schůzi) hlasovat.</w:t>
      </w:r>
    </w:p>
    <w:p w:rsidR="00B90CA0" w:rsidRPr="005025CD" w:rsidRDefault="00B90CA0" w:rsidP="00B90CA0">
      <w:pPr>
        <w:pStyle w:val="DocText"/>
        <w:tabs>
          <w:tab w:val="clear" w:pos="720"/>
        </w:tabs>
        <w:spacing w:line="260" w:lineRule="atLeast"/>
        <w:ind w:left="0" w:firstLine="0"/>
        <w:rPr>
          <w:lang w:val="cs-CZ"/>
        </w:rPr>
      </w:pPr>
      <w:r w:rsidRPr="005025CD">
        <w:rPr>
          <w:lang w:val="cs-CZ"/>
        </w:rPr>
        <w:t>Plná moc udělená Vlastníkem dluhopisů jakémukoli zmocněnci musí být v písemné formě a jeho podpis musí být úředně ověřen. Pokud je Vlastník dluhopisů právnickou osobou, fyzická osoba, která je oprávněna Vlastníka dluhopisů zastupovat na Schůzi na základě plné moci či jinak, musí k tomuto účelu Emitentovi předložit originál nebo úředně ověřenou kopii výpisu Vlastníka dluhopisů z obchodního rejstříku nebo jiného příslušného rejstříku ne starší než tři měsíce před datem příslušné Schůze.</w:t>
      </w:r>
    </w:p>
    <w:p w:rsidR="00B90CA0" w:rsidRPr="005025CD" w:rsidRDefault="00B90CA0" w:rsidP="00B90CA0">
      <w:pPr>
        <w:pStyle w:val="Level3"/>
        <w:numPr>
          <w:ilvl w:val="2"/>
          <w:numId w:val="38"/>
        </w:numPr>
        <w:rPr>
          <w:rFonts w:hint="eastAsia"/>
          <w:lang w:val="cs-CZ"/>
        </w:rPr>
      </w:pPr>
      <w:r w:rsidRPr="005025CD">
        <w:rPr>
          <w:lang w:val="cs-CZ"/>
        </w:rPr>
        <w:t>Účast dalších osob na schůzi</w:t>
      </w:r>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Emitent je povinen účastnit se Schůze, a to buď osobně, nebo prostřednictvím zmocněnce. Dále jsou oprávněni účastnit se Schůze společný zástupce Vlastníků dluhopisů podle </w:t>
      </w:r>
      <w:proofErr w:type="gramStart"/>
      <w:r w:rsidRPr="005025CD">
        <w:rPr>
          <w:lang w:val="cs-CZ"/>
        </w:rPr>
        <w:t xml:space="preserve">článku </w:t>
      </w:r>
      <w:r w:rsidRPr="005025CD">
        <w:rPr>
          <w:lang w:val="cs-CZ"/>
        </w:rPr>
        <w:fldChar w:fldCharType="begin"/>
      </w:r>
      <w:r w:rsidRPr="005025CD">
        <w:rPr>
          <w:lang w:val="cs-CZ"/>
        </w:rPr>
        <w:instrText xml:space="preserve"> REF _Ref426652974 \w \h  \* MERGEFORMAT </w:instrText>
      </w:r>
      <w:r w:rsidRPr="005025CD">
        <w:rPr>
          <w:lang w:val="cs-CZ"/>
        </w:rPr>
      </w:r>
      <w:r w:rsidRPr="005025CD">
        <w:rPr>
          <w:lang w:val="cs-CZ"/>
        </w:rPr>
        <w:fldChar w:fldCharType="separate"/>
      </w:r>
      <w:r w:rsidR="00723DD2">
        <w:rPr>
          <w:lang w:val="cs-CZ"/>
        </w:rPr>
        <w:t>9.3.3</w:t>
      </w:r>
      <w:proofErr w:type="gramEnd"/>
      <w:r w:rsidRPr="005025CD">
        <w:rPr>
          <w:lang w:val="cs-CZ"/>
        </w:rPr>
        <w:fldChar w:fldCharType="end"/>
      </w:r>
      <w:r w:rsidRPr="005025CD">
        <w:rPr>
          <w:lang w:val="cs-CZ"/>
        </w:rPr>
        <w:t xml:space="preserve"> (není-li Osobou oprávněnou k účasti na schůzi) a hosté přizvaní Emitentem.</w:t>
      </w:r>
    </w:p>
    <w:p w:rsidR="00B90CA0" w:rsidRPr="005025CD" w:rsidRDefault="00B90CA0" w:rsidP="00B90CA0">
      <w:pPr>
        <w:pStyle w:val="Level2"/>
        <w:numPr>
          <w:ilvl w:val="1"/>
          <w:numId w:val="38"/>
        </w:numPr>
        <w:rPr>
          <w:rFonts w:hint="eastAsia"/>
          <w:lang w:val="cs-CZ"/>
        </w:rPr>
      </w:pPr>
      <w:bookmarkStart w:id="336" w:name="_Toc256000073"/>
      <w:bookmarkStart w:id="337" w:name="_Toc433993944"/>
      <w:bookmarkStart w:id="338" w:name="_Toc441155824"/>
      <w:bookmarkStart w:id="339" w:name="_Toc441755424"/>
      <w:bookmarkStart w:id="340" w:name="_Toc457259530"/>
      <w:bookmarkStart w:id="341" w:name="_Toc468696799"/>
      <w:bookmarkStart w:id="342" w:name="_Toc507159389"/>
      <w:r w:rsidRPr="005025CD">
        <w:rPr>
          <w:lang w:val="cs-CZ"/>
        </w:rPr>
        <w:lastRenderedPageBreak/>
        <w:t xml:space="preserve">Průběh schůze; rozhodování </w:t>
      </w:r>
      <w:bookmarkEnd w:id="336"/>
      <w:bookmarkEnd w:id="337"/>
      <w:bookmarkEnd w:id="338"/>
      <w:bookmarkEnd w:id="339"/>
      <w:bookmarkEnd w:id="340"/>
      <w:bookmarkEnd w:id="341"/>
      <w:bookmarkEnd w:id="342"/>
      <w:r w:rsidRPr="005025CD">
        <w:rPr>
          <w:lang w:val="cs-CZ"/>
        </w:rPr>
        <w:t>schůze</w:t>
      </w:r>
    </w:p>
    <w:p w:rsidR="00B90CA0" w:rsidRPr="005025CD" w:rsidRDefault="00B90CA0" w:rsidP="00B90CA0">
      <w:pPr>
        <w:pStyle w:val="Level3"/>
        <w:numPr>
          <w:ilvl w:val="2"/>
          <w:numId w:val="38"/>
        </w:numPr>
        <w:rPr>
          <w:rFonts w:hint="eastAsia"/>
          <w:lang w:val="cs-CZ"/>
        </w:rPr>
      </w:pPr>
      <w:bookmarkStart w:id="343" w:name="_Ref426653387"/>
      <w:r w:rsidRPr="005025CD">
        <w:rPr>
          <w:lang w:val="cs-CZ"/>
        </w:rPr>
        <w:t>Usnášeníschopnost</w:t>
      </w:r>
      <w:bookmarkEnd w:id="343"/>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Schůze je usnášeníschopná, pokud se jí účastní Osoby oprávněné k účasti na schůzi, které byly k Rozhodnému dni pro účast na schůzi Vlastníky dluhopisů, jejichž nesplacená jmenovitá hodnota představuje více než 30 % celkové jmenovité hodnoty vydané a dosud nesplacené části Emise. Kryté dluhopisy, které byly v majetku Emitenta k Rozhodnému dni pro účast na schůzi a které k tomuto dni nezanikly z rozhodnutí Emitenta ve smyslu </w:t>
      </w:r>
      <w:proofErr w:type="gramStart"/>
      <w:r w:rsidRPr="005025CD">
        <w:rPr>
          <w:lang w:val="cs-CZ"/>
        </w:rPr>
        <w:t xml:space="preserve">článku </w:t>
      </w:r>
      <w:r w:rsidRPr="005025CD">
        <w:rPr>
          <w:lang w:val="cs-CZ"/>
        </w:rPr>
        <w:fldChar w:fldCharType="begin"/>
      </w:r>
      <w:r w:rsidRPr="005025CD">
        <w:rPr>
          <w:lang w:val="cs-CZ"/>
        </w:rPr>
        <w:instrText xml:space="preserve"> REF _Ref426652922 \n \h  \* MERGEFORMAT </w:instrText>
      </w:r>
      <w:r w:rsidRPr="005025CD">
        <w:rPr>
          <w:lang w:val="cs-CZ"/>
        </w:rPr>
      </w:r>
      <w:r w:rsidRPr="005025CD">
        <w:rPr>
          <w:lang w:val="cs-CZ"/>
        </w:rPr>
        <w:fldChar w:fldCharType="separate"/>
      </w:r>
      <w:r w:rsidR="00723DD2">
        <w:rPr>
          <w:lang w:val="cs-CZ"/>
        </w:rPr>
        <w:t>5.3</w:t>
      </w:r>
      <w:r w:rsidRPr="005025CD">
        <w:rPr>
          <w:lang w:val="cs-CZ"/>
        </w:rPr>
        <w:fldChar w:fldCharType="end"/>
      </w:r>
      <w:r w:rsidRPr="005025CD">
        <w:rPr>
          <w:lang w:val="cs-CZ"/>
        </w:rPr>
        <w:t>, se</w:t>
      </w:r>
      <w:proofErr w:type="gramEnd"/>
      <w:r w:rsidRPr="005025CD">
        <w:rPr>
          <w:lang w:val="cs-CZ"/>
        </w:rPr>
        <w:t xml:space="preserve"> pro účely usnášeníschopnosti Schůze nezapočítávají. Rozhoduje-li Schůze o odvolání společného zástupce, nepřihlíží se k jeho hlasům, je-li současně Osobou oprávněnou k účasti na schůzi. Před zahájením Schůze poskytne svolavatel informaci o počtu všech Krytých dluhopisů a Osobách oprávněných k účasti na schůzi v souladu s Emisními podmínkami.</w:t>
      </w:r>
    </w:p>
    <w:p w:rsidR="00B90CA0" w:rsidRPr="005025CD" w:rsidRDefault="00B90CA0" w:rsidP="00B90CA0">
      <w:pPr>
        <w:pStyle w:val="Level3"/>
        <w:numPr>
          <w:ilvl w:val="2"/>
          <w:numId w:val="38"/>
        </w:numPr>
        <w:rPr>
          <w:rFonts w:hint="eastAsia"/>
          <w:lang w:val="cs-CZ"/>
        </w:rPr>
      </w:pPr>
      <w:r w:rsidRPr="005025CD">
        <w:rPr>
          <w:lang w:val="cs-CZ"/>
        </w:rPr>
        <w:t>Předseda schůze</w:t>
      </w:r>
    </w:p>
    <w:p w:rsidR="00B90CA0" w:rsidRPr="005025CD" w:rsidRDefault="00B90CA0" w:rsidP="00B90CA0">
      <w:pPr>
        <w:pStyle w:val="DocText"/>
        <w:tabs>
          <w:tab w:val="clear" w:pos="720"/>
        </w:tabs>
        <w:spacing w:line="260" w:lineRule="atLeast"/>
        <w:ind w:left="0" w:firstLine="0"/>
        <w:rPr>
          <w:lang w:val="cs-CZ"/>
        </w:rPr>
      </w:pPr>
      <w:r w:rsidRPr="005025CD">
        <w:rPr>
          <w:lang w:val="cs-CZ"/>
        </w:rPr>
        <w:t>Schůzi svolané Emitentem předsedá předseda jmenovaný Emitentem. Schůzi svolané Vlastníkem dluhopisů nebo Vlastníky dluhopisů předsedá předseda zvolený prostou většinou hlasů přítomných Osob oprávněných k účasti na schůzi. Do zvolení předsedy předsedá Schůzi osoba určená svolávajícím Vlastníkem dluhopisů nebo svolávajícími Vlastníky dluhopisů, přičemž volba předsedy musí být prvním bodem programu Schůze nesvolané Emitentem.</w:t>
      </w:r>
    </w:p>
    <w:p w:rsidR="00B90CA0" w:rsidRPr="005025CD" w:rsidRDefault="00B90CA0" w:rsidP="00B90CA0">
      <w:pPr>
        <w:pStyle w:val="Level3"/>
        <w:numPr>
          <w:ilvl w:val="2"/>
          <w:numId w:val="38"/>
        </w:numPr>
        <w:rPr>
          <w:rFonts w:hint="eastAsia"/>
          <w:lang w:val="cs-CZ"/>
        </w:rPr>
      </w:pPr>
      <w:bookmarkStart w:id="344" w:name="_Ref426652974"/>
      <w:r w:rsidRPr="005025CD">
        <w:rPr>
          <w:lang w:val="cs-CZ"/>
        </w:rPr>
        <w:t>Společný zástupce</w:t>
      </w:r>
      <w:bookmarkEnd w:id="344"/>
    </w:p>
    <w:p w:rsidR="00B90CA0" w:rsidRPr="005025CD" w:rsidRDefault="00B90CA0" w:rsidP="00B90CA0">
      <w:pPr>
        <w:pStyle w:val="DocText"/>
        <w:tabs>
          <w:tab w:val="clear" w:pos="720"/>
        </w:tabs>
        <w:spacing w:line="260" w:lineRule="atLeast"/>
        <w:ind w:left="0" w:firstLine="0"/>
        <w:rPr>
          <w:lang w:val="cs-CZ"/>
        </w:rPr>
      </w:pPr>
      <w:r w:rsidRPr="005025CD">
        <w:rPr>
          <w:lang w:val="cs-CZ"/>
        </w:rPr>
        <w:t>Schůze může usnesením zvolit fyzickou nebo právnickou osobu za společného zástupce. Společný zástupce je v souladu se Zákonem o dluhopisech oprávněn (i) uplatňovat ve prospěch všech Vlastníků dluhopisů práva spojená s Krytými dluhopisy v rozsahu vymezeném rozhodnutím Schůze, (</w:t>
      </w:r>
      <w:proofErr w:type="spellStart"/>
      <w:r w:rsidRPr="005025CD">
        <w:rPr>
          <w:lang w:val="cs-CZ"/>
        </w:rPr>
        <w:t>ii</w:t>
      </w:r>
      <w:proofErr w:type="spellEnd"/>
      <w:r w:rsidRPr="005025CD">
        <w:rPr>
          <w:lang w:val="cs-CZ"/>
        </w:rPr>
        <w:t>) kontrolovat plnění Emisních podmínek ze strany Emitenta a (</w:t>
      </w:r>
      <w:proofErr w:type="spellStart"/>
      <w:r w:rsidRPr="005025CD">
        <w:rPr>
          <w:lang w:val="cs-CZ"/>
        </w:rPr>
        <w:t>iii</w:t>
      </w:r>
      <w:proofErr w:type="spellEnd"/>
      <w:r w:rsidRPr="005025CD">
        <w:rPr>
          <w:lang w:val="cs-CZ"/>
        </w:rPr>
        <w:t xml:space="preserve">) činit ve prospěch všech Vlastníků dluhopisů další jednání a chránit jejich zájmy, a to způsobem a v rozsahu podle rozhodnutí Schůze. Společného zástupce může Schůze odvolat stejným způsobem, jakým byl zvolen, nebo jej nahradit jiným společným zástupcem. Případná smlouva o ustanovení společného zástupce bude veřejnosti přístupná na internetových stránkách Emitenta uvedených v článku </w:t>
      </w:r>
      <w:r w:rsidRPr="005025CD">
        <w:rPr>
          <w:lang w:val="cs-CZ"/>
        </w:rPr>
        <w:fldChar w:fldCharType="begin"/>
      </w:r>
      <w:r w:rsidRPr="005025CD">
        <w:rPr>
          <w:lang w:val="cs-CZ"/>
        </w:rPr>
        <w:instrText xml:space="preserve"> REF _Ref35886684 \r \h </w:instrText>
      </w:r>
      <w:r>
        <w:rPr>
          <w:lang w:val="cs-CZ"/>
        </w:rPr>
        <w:instrText xml:space="preserve"> \* MERGEFORMAT </w:instrText>
      </w:r>
      <w:r w:rsidRPr="005025CD">
        <w:rPr>
          <w:lang w:val="cs-CZ"/>
        </w:rPr>
      </w:r>
      <w:r w:rsidRPr="005025CD">
        <w:rPr>
          <w:lang w:val="cs-CZ"/>
        </w:rPr>
        <w:fldChar w:fldCharType="separate"/>
      </w:r>
      <w:r w:rsidR="00723DD2">
        <w:rPr>
          <w:lang w:val="cs-CZ"/>
        </w:rPr>
        <w:t>11</w:t>
      </w:r>
      <w:r w:rsidRPr="005025CD">
        <w:rPr>
          <w:lang w:val="cs-CZ"/>
        </w:rPr>
        <w:fldChar w:fldCharType="end"/>
      </w:r>
      <w:r w:rsidRPr="005025CD">
        <w:rPr>
          <w:lang w:val="cs-CZ"/>
        </w:rPr>
        <w:t>.</w:t>
      </w:r>
    </w:p>
    <w:p w:rsidR="00B90CA0" w:rsidRPr="005025CD" w:rsidRDefault="00B90CA0" w:rsidP="00B90CA0">
      <w:pPr>
        <w:pStyle w:val="Level3"/>
        <w:numPr>
          <w:ilvl w:val="2"/>
          <w:numId w:val="38"/>
        </w:numPr>
        <w:rPr>
          <w:rFonts w:hint="eastAsia"/>
          <w:lang w:val="cs-CZ"/>
        </w:rPr>
      </w:pPr>
      <w:r w:rsidRPr="005025CD">
        <w:rPr>
          <w:lang w:val="cs-CZ"/>
        </w:rPr>
        <w:t>Rozhodování schůze</w:t>
      </w:r>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Schůze o předložených otázkách rozhoduje formou usnesení. K přijetí usnesení, jímž se (i) schvaluje návrh podle </w:t>
      </w:r>
      <w:proofErr w:type="gramStart"/>
      <w:r w:rsidRPr="005025CD">
        <w:rPr>
          <w:lang w:val="cs-CZ"/>
        </w:rPr>
        <w:t xml:space="preserve">článku </w:t>
      </w:r>
      <w:r w:rsidRPr="005025CD">
        <w:rPr>
          <w:lang w:val="cs-CZ"/>
        </w:rPr>
        <w:fldChar w:fldCharType="begin"/>
      </w:r>
      <w:r w:rsidRPr="005025CD">
        <w:rPr>
          <w:lang w:val="cs-CZ"/>
        </w:rPr>
        <w:instrText xml:space="preserve"> REF _Ref426652884 \w \h  \* MERGEFORMAT </w:instrText>
      </w:r>
      <w:r w:rsidRPr="005025CD">
        <w:rPr>
          <w:lang w:val="cs-CZ"/>
        </w:rPr>
      </w:r>
      <w:r w:rsidRPr="005025CD">
        <w:rPr>
          <w:lang w:val="cs-CZ"/>
        </w:rPr>
        <w:fldChar w:fldCharType="separate"/>
      </w:r>
      <w:r w:rsidR="00723DD2">
        <w:rPr>
          <w:lang w:val="cs-CZ"/>
        </w:rPr>
        <w:t>9.1.2</w:t>
      </w:r>
      <w:proofErr w:type="gramEnd"/>
      <w:r w:rsidRPr="005025CD">
        <w:rPr>
          <w:lang w:val="cs-CZ"/>
        </w:rPr>
        <w:fldChar w:fldCharType="end"/>
      </w:r>
      <w:r w:rsidRPr="005025CD">
        <w:rPr>
          <w:lang w:val="cs-CZ"/>
        </w:rPr>
        <w:t xml:space="preserve"> nebo (</w:t>
      </w:r>
      <w:proofErr w:type="spellStart"/>
      <w:r w:rsidRPr="005025CD">
        <w:rPr>
          <w:lang w:val="cs-CZ"/>
        </w:rPr>
        <w:t>ii</w:t>
      </w:r>
      <w:proofErr w:type="spellEnd"/>
      <w:r w:rsidRPr="005025CD">
        <w:rPr>
          <w:lang w:val="cs-CZ"/>
        </w:rPr>
        <w:t>) volí a odvolává společný zástupce, je třeba Kvalifikované většiny. Pokud nestanoví zákon či tyto Emisní podmínky jinak, stačí k přijetí ostatních usnesení Schůze prostá většina hlasů přítomných Osob oprávněných k účasti na schůzi.</w:t>
      </w:r>
    </w:p>
    <w:p w:rsidR="00B90CA0" w:rsidRPr="005025CD" w:rsidRDefault="00B90CA0" w:rsidP="00B90CA0">
      <w:pPr>
        <w:pStyle w:val="Level3"/>
        <w:numPr>
          <w:ilvl w:val="2"/>
          <w:numId w:val="38"/>
        </w:numPr>
        <w:rPr>
          <w:rFonts w:hint="eastAsia"/>
          <w:lang w:val="cs-CZ"/>
        </w:rPr>
      </w:pPr>
      <w:r w:rsidRPr="005025CD">
        <w:rPr>
          <w:lang w:val="cs-CZ"/>
        </w:rPr>
        <w:t>Odročení schůze</w:t>
      </w:r>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Pokud do jedné hodiny od stanoveného začátku Schůze není usnášeníschopná, bude bez dalšího rozpuštěna. Není-li Schůze, která má rozhodovat o změně Emisních podmínek podle </w:t>
      </w:r>
      <w:proofErr w:type="gramStart"/>
      <w:r w:rsidRPr="005025CD">
        <w:rPr>
          <w:lang w:val="cs-CZ"/>
        </w:rPr>
        <w:t xml:space="preserve">článku </w:t>
      </w:r>
      <w:r w:rsidRPr="005025CD">
        <w:rPr>
          <w:lang w:val="cs-CZ"/>
        </w:rPr>
        <w:fldChar w:fldCharType="begin"/>
      </w:r>
      <w:r w:rsidRPr="005025CD">
        <w:rPr>
          <w:lang w:val="cs-CZ"/>
        </w:rPr>
        <w:instrText xml:space="preserve"> REF _Ref426652884 \w \h  \* MERGEFORMAT </w:instrText>
      </w:r>
      <w:r w:rsidRPr="005025CD">
        <w:rPr>
          <w:lang w:val="cs-CZ"/>
        </w:rPr>
      </w:r>
      <w:r w:rsidRPr="005025CD">
        <w:rPr>
          <w:lang w:val="cs-CZ"/>
        </w:rPr>
        <w:fldChar w:fldCharType="separate"/>
      </w:r>
      <w:r w:rsidR="00723DD2">
        <w:rPr>
          <w:lang w:val="cs-CZ"/>
        </w:rPr>
        <w:t>9.1.2</w:t>
      </w:r>
      <w:proofErr w:type="gramEnd"/>
      <w:r w:rsidRPr="005025CD">
        <w:rPr>
          <w:lang w:val="cs-CZ"/>
        </w:rPr>
        <w:fldChar w:fldCharType="end"/>
      </w:r>
      <w:r w:rsidRPr="005025CD">
        <w:rPr>
          <w:lang w:val="cs-CZ"/>
        </w:rPr>
        <w:t xml:space="preserve">, usnášeníschopná do jedné hodiny od stanoveného začátku, svolá Emitent nebo jiný svolavatel Schůze, je-li to nadále potřebné, náhradní Schůzi tak, aby se konala do šesti týdnů od původního termínu. Konání náhradní Schůze s nezměněným programem jednání bude Vlastníkům dluhopisů oznámena nejpozději do 15 dnů ode dne původního termínu Schůze. Náhradní Schůze rozhodující o změně Emisních podmínek podle </w:t>
      </w:r>
      <w:proofErr w:type="gramStart"/>
      <w:r w:rsidRPr="005025CD">
        <w:rPr>
          <w:lang w:val="cs-CZ"/>
        </w:rPr>
        <w:t xml:space="preserve">článku </w:t>
      </w:r>
      <w:r w:rsidRPr="005025CD">
        <w:rPr>
          <w:lang w:val="cs-CZ"/>
        </w:rPr>
        <w:fldChar w:fldCharType="begin"/>
      </w:r>
      <w:r w:rsidRPr="005025CD">
        <w:rPr>
          <w:lang w:val="cs-CZ"/>
        </w:rPr>
        <w:instrText xml:space="preserve"> REF _Ref426652884 \w \h  \* MERGEFORMAT </w:instrText>
      </w:r>
      <w:r w:rsidRPr="005025CD">
        <w:rPr>
          <w:lang w:val="cs-CZ"/>
        </w:rPr>
      </w:r>
      <w:r w:rsidRPr="005025CD">
        <w:rPr>
          <w:lang w:val="cs-CZ"/>
        </w:rPr>
        <w:fldChar w:fldCharType="separate"/>
      </w:r>
      <w:r w:rsidR="00723DD2">
        <w:rPr>
          <w:lang w:val="cs-CZ"/>
        </w:rPr>
        <w:t>9.1.2</w:t>
      </w:r>
      <w:proofErr w:type="gramEnd"/>
      <w:r w:rsidRPr="005025CD">
        <w:rPr>
          <w:lang w:val="cs-CZ"/>
        </w:rPr>
        <w:fldChar w:fldCharType="end"/>
      </w:r>
      <w:r w:rsidRPr="005025CD">
        <w:rPr>
          <w:lang w:val="cs-CZ"/>
        </w:rPr>
        <w:t xml:space="preserve"> je schopna se usnášet bez ohledu na podmínky pro usnášeníschopnost podle článku </w:t>
      </w:r>
      <w:r w:rsidRPr="005025CD">
        <w:rPr>
          <w:lang w:val="cs-CZ"/>
        </w:rPr>
        <w:fldChar w:fldCharType="begin"/>
      </w:r>
      <w:r w:rsidRPr="005025CD">
        <w:rPr>
          <w:lang w:val="cs-CZ"/>
        </w:rPr>
        <w:instrText xml:space="preserve"> REF _Ref426653387 \w \h  \* MERGEFORMAT </w:instrText>
      </w:r>
      <w:r w:rsidRPr="005025CD">
        <w:rPr>
          <w:lang w:val="cs-CZ"/>
        </w:rPr>
      </w:r>
      <w:r w:rsidRPr="005025CD">
        <w:rPr>
          <w:lang w:val="cs-CZ"/>
        </w:rPr>
        <w:fldChar w:fldCharType="separate"/>
      </w:r>
      <w:r w:rsidR="00723DD2">
        <w:rPr>
          <w:lang w:val="cs-CZ"/>
        </w:rPr>
        <w:t>9.3.1</w:t>
      </w:r>
      <w:r w:rsidRPr="005025CD">
        <w:rPr>
          <w:lang w:val="cs-CZ"/>
        </w:rPr>
        <w:fldChar w:fldCharType="end"/>
      </w:r>
      <w:r w:rsidRPr="005025CD">
        <w:rPr>
          <w:lang w:val="cs-CZ"/>
        </w:rPr>
        <w:t>.</w:t>
      </w:r>
    </w:p>
    <w:p w:rsidR="00B90CA0" w:rsidRPr="005025CD" w:rsidRDefault="00B90CA0" w:rsidP="00B90CA0">
      <w:pPr>
        <w:pStyle w:val="Level2"/>
        <w:numPr>
          <w:ilvl w:val="1"/>
          <w:numId w:val="38"/>
        </w:numPr>
        <w:rPr>
          <w:rFonts w:hint="eastAsia"/>
          <w:lang w:val="cs-CZ"/>
        </w:rPr>
      </w:pPr>
      <w:bookmarkStart w:id="345" w:name="_Toc256000074"/>
      <w:bookmarkStart w:id="346" w:name="_Toc433993945"/>
      <w:bookmarkStart w:id="347" w:name="_Toc441155825"/>
      <w:bookmarkStart w:id="348" w:name="_Toc441755425"/>
      <w:bookmarkStart w:id="349" w:name="_Toc457259531"/>
      <w:bookmarkStart w:id="350" w:name="_Toc468696800"/>
      <w:bookmarkStart w:id="351" w:name="_Toc507159390"/>
      <w:r w:rsidRPr="005025CD">
        <w:rPr>
          <w:lang w:val="cs-CZ"/>
        </w:rPr>
        <w:lastRenderedPageBreak/>
        <w:t>Některá další práva vlastníků krytých dluhopisů</w:t>
      </w:r>
      <w:bookmarkEnd w:id="345"/>
      <w:bookmarkEnd w:id="346"/>
      <w:bookmarkEnd w:id="347"/>
      <w:bookmarkEnd w:id="348"/>
      <w:bookmarkEnd w:id="349"/>
      <w:bookmarkEnd w:id="350"/>
      <w:bookmarkEnd w:id="351"/>
    </w:p>
    <w:p w:rsidR="00B90CA0" w:rsidRPr="005025CD" w:rsidRDefault="00B90CA0" w:rsidP="00B90CA0">
      <w:pPr>
        <w:pStyle w:val="Level3"/>
        <w:numPr>
          <w:ilvl w:val="2"/>
          <w:numId w:val="38"/>
        </w:numPr>
        <w:rPr>
          <w:rFonts w:hint="eastAsia"/>
          <w:lang w:val="cs-CZ"/>
        </w:rPr>
      </w:pPr>
      <w:bookmarkStart w:id="352" w:name="_Ref426652074"/>
      <w:r w:rsidRPr="005025CD">
        <w:rPr>
          <w:lang w:val="cs-CZ"/>
        </w:rPr>
        <w:t xml:space="preserve">Důsledek hlasování proti některým usnesením </w:t>
      </w:r>
      <w:bookmarkEnd w:id="352"/>
      <w:r w:rsidRPr="005025CD">
        <w:rPr>
          <w:lang w:val="cs-CZ"/>
        </w:rPr>
        <w:t>schůze</w:t>
      </w:r>
    </w:p>
    <w:p w:rsidR="00B90CA0" w:rsidRPr="005025CD" w:rsidRDefault="00B90CA0" w:rsidP="00B90CA0">
      <w:pPr>
        <w:pStyle w:val="DocText"/>
        <w:tabs>
          <w:tab w:val="clear" w:pos="720"/>
        </w:tabs>
        <w:spacing w:line="260" w:lineRule="atLeast"/>
        <w:ind w:left="0" w:firstLine="0"/>
        <w:rPr>
          <w:lang w:val="cs-CZ"/>
        </w:rPr>
      </w:pPr>
      <w:r w:rsidRPr="005025CD">
        <w:rPr>
          <w:lang w:val="cs-CZ"/>
        </w:rPr>
        <w:t>Pokud Schůze souhlasila se Změnou zásadní povahy, Osoba oprávněná k účasti na schůzi, která podle zápisu ze Schůze hlasovala proti nebo se příslušné Schůze nezúčastnila (</w:t>
      </w:r>
      <w:r w:rsidRPr="005025CD">
        <w:rPr>
          <w:b/>
          <w:lang w:val="cs-CZ"/>
        </w:rPr>
        <w:t>Žadatel</w:t>
      </w:r>
      <w:r w:rsidRPr="005025CD">
        <w:rPr>
          <w:b/>
          <w:lang w:val="cs-CZ"/>
        </w:rPr>
        <w:fldChar w:fldCharType="begin"/>
      </w:r>
      <w:r w:rsidRPr="005025CD">
        <w:rPr>
          <w:lang w:val="cs-CZ"/>
        </w:rPr>
        <w:instrText xml:space="preserve"> XE "Žadatel" </w:instrText>
      </w:r>
      <w:r w:rsidRPr="005025CD">
        <w:rPr>
          <w:b/>
          <w:lang w:val="cs-CZ"/>
        </w:rPr>
        <w:fldChar w:fldCharType="end"/>
      </w:r>
      <w:r w:rsidRPr="005025CD">
        <w:rPr>
          <w:lang w:val="cs-CZ"/>
        </w:rPr>
        <w:t xml:space="preserve">), je oprávněna požadovat vyplacení dosud nesplacené jmenovité hodnoty Krytých dluhopisů, jichž byla vlastníkem k Rozhodnému dni pro účast na schůzi, jakož i poměrného úrokového výnosu, pokud Kryté dluhopisy po konání Schůze následně nepřevede. Žadatel musí toto právo uplatnit do 30 dnů od zpřístupnění usnesení Schůze podle </w:t>
      </w:r>
      <w:proofErr w:type="gramStart"/>
      <w:r w:rsidRPr="005025CD">
        <w:rPr>
          <w:lang w:val="cs-CZ"/>
        </w:rPr>
        <w:t xml:space="preserve">článku </w:t>
      </w:r>
      <w:r w:rsidRPr="005025CD">
        <w:rPr>
          <w:lang w:val="cs-CZ"/>
        </w:rPr>
        <w:fldChar w:fldCharType="begin"/>
      </w:r>
      <w:r w:rsidRPr="005025CD">
        <w:rPr>
          <w:lang w:val="cs-CZ"/>
        </w:rPr>
        <w:instrText xml:space="preserve"> REF _Ref426653416 \n \h  \* MERGEFORMAT </w:instrText>
      </w:r>
      <w:r w:rsidRPr="005025CD">
        <w:rPr>
          <w:lang w:val="cs-CZ"/>
        </w:rPr>
      </w:r>
      <w:r w:rsidRPr="005025CD">
        <w:rPr>
          <w:lang w:val="cs-CZ"/>
        </w:rPr>
        <w:fldChar w:fldCharType="separate"/>
      </w:r>
      <w:r w:rsidR="00723DD2">
        <w:rPr>
          <w:lang w:val="cs-CZ"/>
        </w:rPr>
        <w:t>9.5</w:t>
      </w:r>
      <w:r w:rsidRPr="005025CD">
        <w:rPr>
          <w:lang w:val="cs-CZ"/>
        </w:rPr>
        <w:fldChar w:fldCharType="end"/>
      </w:r>
      <w:r w:rsidRPr="005025CD">
        <w:rPr>
          <w:lang w:val="cs-CZ"/>
        </w:rPr>
        <w:t> písemnou</w:t>
      </w:r>
      <w:proofErr w:type="gramEnd"/>
      <w:r w:rsidRPr="005025CD">
        <w:rPr>
          <w:lang w:val="cs-CZ"/>
        </w:rPr>
        <w:t xml:space="preserve"> žádost (</w:t>
      </w:r>
      <w:r w:rsidRPr="005025CD">
        <w:rPr>
          <w:b/>
          <w:lang w:val="cs-CZ"/>
        </w:rPr>
        <w:t>Žádost</w:t>
      </w:r>
      <w:r w:rsidRPr="005025CD">
        <w:rPr>
          <w:lang w:val="cs-CZ"/>
        </w:rPr>
        <w:fldChar w:fldCharType="begin"/>
      </w:r>
      <w:r w:rsidRPr="005025CD">
        <w:rPr>
          <w:lang w:val="cs-CZ"/>
        </w:rPr>
        <w:instrText xml:space="preserve"> XE "Žádost" </w:instrText>
      </w:r>
      <w:r w:rsidRPr="005025CD">
        <w:rPr>
          <w:lang w:val="cs-CZ"/>
        </w:rPr>
        <w:fldChar w:fldCharType="end"/>
      </w:r>
      <w:r w:rsidRPr="005025CD">
        <w:rPr>
          <w:lang w:val="cs-CZ"/>
        </w:rPr>
        <w:t>) doručenou Emitentovi, jinak zaniká. Výše uvedené částky jsou splatné do 30 dnů po doručení Žádosti (</w:t>
      </w:r>
      <w:r w:rsidRPr="005025CD">
        <w:rPr>
          <w:b/>
          <w:lang w:val="cs-CZ"/>
        </w:rPr>
        <w:t xml:space="preserve">Den předčasné splatnosti </w:t>
      </w:r>
      <w:r w:rsidRPr="005025CD">
        <w:rPr>
          <w:lang w:val="cs-CZ"/>
        </w:rPr>
        <w:fldChar w:fldCharType="begin"/>
      </w:r>
      <w:r w:rsidRPr="005025CD">
        <w:rPr>
          <w:lang w:val="cs-CZ"/>
        </w:rPr>
        <w:instrText xml:space="preserve"> XE "Den předčasné splatnosti" </w:instrText>
      </w:r>
      <w:r w:rsidRPr="005025CD">
        <w:rPr>
          <w:lang w:val="cs-CZ"/>
        </w:rPr>
        <w:fldChar w:fldCharType="end"/>
      </w:r>
      <w:r w:rsidRPr="005025CD">
        <w:rPr>
          <w:lang w:val="cs-CZ"/>
        </w:rPr>
        <w:t>).</w:t>
      </w:r>
    </w:p>
    <w:p w:rsidR="00B90CA0" w:rsidRPr="005025CD" w:rsidRDefault="00B90CA0" w:rsidP="00B90CA0">
      <w:pPr>
        <w:pStyle w:val="Level3"/>
        <w:numPr>
          <w:ilvl w:val="2"/>
          <w:numId w:val="38"/>
        </w:numPr>
        <w:rPr>
          <w:rFonts w:hint="eastAsia"/>
          <w:lang w:val="cs-CZ"/>
        </w:rPr>
      </w:pPr>
      <w:r w:rsidRPr="005025CD">
        <w:rPr>
          <w:lang w:val="cs-CZ"/>
        </w:rPr>
        <w:t>Náležitosti žádosti</w:t>
      </w:r>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V Žádosti je nutné uvést počet Krytých dluhopisů, o jejichž předčasné splacení se žádá a majetkový účet. Žádost musí být písemná, podepsaná osobami oprávněnými jednat jménem Žadatele, přičemž jejich podpisy musejí být úředně ověřeny. Žadatel musí ve stejné lhůtě doručit Emitentovi i veškeré dokumenty požadované pro provedení výplaty podle článku </w:t>
      </w:r>
      <w:r w:rsidRPr="005025CD">
        <w:rPr>
          <w:lang w:val="cs-CZ"/>
        </w:rPr>
        <w:fldChar w:fldCharType="begin"/>
      </w:r>
      <w:r w:rsidRPr="005025CD">
        <w:rPr>
          <w:lang w:val="cs-CZ"/>
        </w:rPr>
        <w:instrText xml:space="preserve"> REF _Ref508202083 \w \h </w:instrText>
      </w:r>
      <w:r>
        <w:rPr>
          <w:lang w:val="cs-CZ"/>
        </w:rPr>
        <w:instrText xml:space="preserve"> \* MERGEFORMAT </w:instrText>
      </w:r>
      <w:r w:rsidRPr="005025CD">
        <w:rPr>
          <w:lang w:val="cs-CZ"/>
        </w:rPr>
      </w:r>
      <w:r w:rsidRPr="005025CD">
        <w:rPr>
          <w:lang w:val="cs-CZ"/>
        </w:rPr>
        <w:fldChar w:fldCharType="separate"/>
      </w:r>
      <w:r w:rsidR="00723DD2">
        <w:rPr>
          <w:lang w:val="cs-CZ"/>
        </w:rPr>
        <w:t>6</w:t>
      </w:r>
      <w:r w:rsidRPr="005025CD">
        <w:rPr>
          <w:lang w:val="cs-CZ"/>
        </w:rPr>
        <w:fldChar w:fldCharType="end"/>
      </w:r>
      <w:r w:rsidRPr="005025CD">
        <w:rPr>
          <w:lang w:val="cs-CZ"/>
        </w:rPr>
        <w:t>.</w:t>
      </w:r>
    </w:p>
    <w:p w:rsidR="00B90CA0" w:rsidRPr="005025CD" w:rsidRDefault="00B90CA0" w:rsidP="00B90CA0">
      <w:pPr>
        <w:pStyle w:val="Level2"/>
        <w:numPr>
          <w:ilvl w:val="1"/>
          <w:numId w:val="38"/>
        </w:numPr>
        <w:rPr>
          <w:rFonts w:hint="eastAsia"/>
          <w:lang w:val="cs-CZ"/>
        </w:rPr>
      </w:pPr>
      <w:bookmarkStart w:id="353" w:name="_Toc256000075"/>
      <w:bookmarkStart w:id="354" w:name="_Ref426653416"/>
      <w:bookmarkStart w:id="355" w:name="_Toc433993946"/>
      <w:bookmarkStart w:id="356" w:name="_Toc441155826"/>
      <w:bookmarkStart w:id="357" w:name="_Toc441755426"/>
      <w:bookmarkStart w:id="358" w:name="_Toc457259532"/>
      <w:bookmarkStart w:id="359" w:name="_Toc468696801"/>
      <w:bookmarkStart w:id="360" w:name="_Toc507159391"/>
      <w:bookmarkStart w:id="361" w:name="_Ref11881965"/>
      <w:r w:rsidRPr="005025CD">
        <w:rPr>
          <w:lang w:val="cs-CZ"/>
        </w:rPr>
        <w:t>Zápis z jednání</w:t>
      </w:r>
      <w:bookmarkEnd w:id="353"/>
      <w:bookmarkEnd w:id="354"/>
      <w:bookmarkEnd w:id="355"/>
      <w:bookmarkEnd w:id="356"/>
      <w:bookmarkEnd w:id="357"/>
      <w:bookmarkEnd w:id="358"/>
      <w:bookmarkEnd w:id="359"/>
      <w:bookmarkEnd w:id="360"/>
      <w:bookmarkEnd w:id="361"/>
    </w:p>
    <w:p w:rsidR="00B90CA0" w:rsidRPr="005025CD" w:rsidRDefault="00B90CA0" w:rsidP="00B90CA0">
      <w:pPr>
        <w:pStyle w:val="DocText"/>
        <w:tabs>
          <w:tab w:val="clear" w:pos="720"/>
        </w:tabs>
        <w:spacing w:line="260" w:lineRule="atLeast"/>
        <w:ind w:left="0" w:firstLine="0"/>
        <w:rPr>
          <w:lang w:val="cs-CZ"/>
        </w:rPr>
      </w:pPr>
      <w:r w:rsidRPr="005025CD">
        <w:rPr>
          <w:lang w:val="cs-CZ"/>
        </w:rPr>
        <w:t xml:space="preserve">O jednání Schůze pořizuje svolavatel, sám nebo prostřednictvím jím pověřené osoby, do 30 dnů od konání Schůze zápis obsahující závěry Schůze, zejména přijatá usnesení. Pokud svolavatelem Schůze je Vlastník dluhopisů nebo Vlastníci dluhopisů, musí být zápis nejpozději do 30 dnů od konání Schůze rovněž doručen Emitentovi. Zápis ze Schůze je Emitent povinen uschovat, dokud neuplyne promlčecí doba pro uplatnění práv z Krytých dluhopisů. Zápis ze Schůze je k nahlédnutí Vlastníkům dluhopisů v běžné pracovní u Emitenta. Emitent je povinen ve lhůtě do 30 dnů od konání Schůze uveřejnit sám nebo prostřednictvím jím pověřené osoby všechna rozhodnutí Schůze, a to způsobem stanoveným v článku </w:t>
      </w:r>
      <w:r w:rsidRPr="005025CD">
        <w:rPr>
          <w:lang w:val="cs-CZ"/>
        </w:rPr>
        <w:fldChar w:fldCharType="begin"/>
      </w:r>
      <w:r w:rsidRPr="005025CD">
        <w:rPr>
          <w:lang w:val="cs-CZ"/>
        </w:rPr>
        <w:instrText xml:space="preserve"> REF _Ref459284260 \r \h  \* MERGEFORMAT </w:instrText>
      </w:r>
      <w:r w:rsidRPr="005025CD">
        <w:rPr>
          <w:lang w:val="cs-CZ"/>
        </w:rPr>
      </w:r>
      <w:r w:rsidRPr="005025CD">
        <w:rPr>
          <w:lang w:val="cs-CZ"/>
        </w:rPr>
        <w:fldChar w:fldCharType="separate"/>
      </w:r>
      <w:r w:rsidR="00723DD2">
        <w:rPr>
          <w:lang w:val="cs-CZ"/>
        </w:rPr>
        <w:t>11</w:t>
      </w:r>
      <w:r w:rsidRPr="005025CD">
        <w:rPr>
          <w:lang w:val="cs-CZ"/>
        </w:rPr>
        <w:fldChar w:fldCharType="end"/>
      </w:r>
      <w:r w:rsidRPr="005025CD">
        <w:rPr>
          <w:lang w:val="cs-CZ"/>
        </w:rPr>
        <w:t xml:space="preserve">. Pokud Schůze projednávala usnesení o Změně zásadní povahy podle </w:t>
      </w:r>
      <w:proofErr w:type="gramStart"/>
      <w:r w:rsidRPr="005025CD">
        <w:rPr>
          <w:lang w:val="cs-CZ"/>
        </w:rPr>
        <w:t xml:space="preserve">článku </w:t>
      </w:r>
      <w:r w:rsidRPr="005025CD">
        <w:rPr>
          <w:lang w:val="cs-CZ"/>
        </w:rPr>
        <w:fldChar w:fldCharType="begin"/>
      </w:r>
      <w:r w:rsidRPr="005025CD">
        <w:rPr>
          <w:lang w:val="cs-CZ"/>
        </w:rPr>
        <w:instrText xml:space="preserve"> REF _Ref426652884 \w \h  \* MERGEFORMAT </w:instrText>
      </w:r>
      <w:r w:rsidRPr="005025CD">
        <w:rPr>
          <w:lang w:val="cs-CZ"/>
        </w:rPr>
      </w:r>
      <w:r w:rsidRPr="005025CD">
        <w:rPr>
          <w:lang w:val="cs-CZ"/>
        </w:rPr>
        <w:fldChar w:fldCharType="separate"/>
      </w:r>
      <w:r w:rsidR="00723DD2">
        <w:rPr>
          <w:lang w:val="cs-CZ"/>
        </w:rPr>
        <w:t>9.1.2</w:t>
      </w:r>
      <w:proofErr w:type="gramEnd"/>
      <w:r w:rsidRPr="005025CD">
        <w:rPr>
          <w:lang w:val="cs-CZ"/>
        </w:rPr>
        <w:fldChar w:fldCharType="end"/>
      </w:r>
      <w:r w:rsidRPr="005025CD">
        <w:rPr>
          <w:lang w:val="cs-CZ"/>
        </w:rPr>
        <w:t>, musí být o účasti na Schůzi a o rozhodnutích Schůze pořízen notářský zápis s uvedením jmen Osob oprávněných k účasti na schůzi, které hlasovaly pro přijetí usnesení, a počtů Krytých dluhopisů, které tyto osoby vlastnily k Rozhodnému dni pro účast na schůzi.</w:t>
      </w:r>
    </w:p>
    <w:p w:rsidR="00B90CA0" w:rsidRPr="005025CD" w:rsidRDefault="00B90CA0" w:rsidP="00B90CA0">
      <w:pPr>
        <w:pStyle w:val="Level1"/>
        <w:numPr>
          <w:ilvl w:val="0"/>
          <w:numId w:val="38"/>
        </w:numPr>
        <w:rPr>
          <w:rFonts w:hint="eastAsia"/>
          <w:u w:val="single"/>
          <w:lang w:val="cs-CZ"/>
        </w:rPr>
      </w:pPr>
      <w:bookmarkStart w:id="362" w:name="_Toc256000076"/>
      <w:bookmarkStart w:id="363" w:name="_Toc433993947"/>
      <w:bookmarkStart w:id="364" w:name="_Toc441155827"/>
      <w:bookmarkStart w:id="365" w:name="_Toc441755427"/>
      <w:bookmarkStart w:id="366" w:name="_Toc457259533"/>
      <w:bookmarkStart w:id="367" w:name="_Toc468696802"/>
      <w:bookmarkStart w:id="368" w:name="_Toc507159392"/>
      <w:bookmarkStart w:id="369" w:name="_Toc10478033"/>
      <w:bookmarkStart w:id="370" w:name="_Toc373436382"/>
      <w:bookmarkStart w:id="371" w:name="_Ref426652655"/>
      <w:bookmarkStart w:id="372" w:name="_Ref426652773"/>
      <w:bookmarkStart w:id="373" w:name="_Ref426652863"/>
      <w:bookmarkStart w:id="374" w:name="_Ref426653470"/>
      <w:bookmarkStart w:id="375" w:name="_Ref426718617"/>
      <w:bookmarkStart w:id="376" w:name="_Ref426722957"/>
      <w:r w:rsidRPr="005025CD">
        <w:rPr>
          <w:u w:val="single"/>
          <w:lang w:val="cs-CZ"/>
        </w:rPr>
        <w:t xml:space="preserve">Změny emisních </w:t>
      </w:r>
      <w:bookmarkEnd w:id="362"/>
      <w:bookmarkEnd w:id="363"/>
      <w:bookmarkEnd w:id="364"/>
      <w:bookmarkEnd w:id="365"/>
      <w:bookmarkEnd w:id="366"/>
      <w:bookmarkEnd w:id="367"/>
      <w:bookmarkEnd w:id="368"/>
      <w:bookmarkEnd w:id="369"/>
      <w:r w:rsidRPr="005025CD">
        <w:rPr>
          <w:u w:val="single"/>
          <w:lang w:val="cs-CZ"/>
        </w:rPr>
        <w:t>podmínek</w:t>
      </w:r>
    </w:p>
    <w:p w:rsidR="00B90CA0" w:rsidRPr="005025CD" w:rsidRDefault="00B90CA0" w:rsidP="00B90CA0">
      <w:pPr>
        <w:pStyle w:val="DocText"/>
        <w:tabs>
          <w:tab w:val="clear" w:pos="720"/>
        </w:tabs>
        <w:spacing w:line="260" w:lineRule="atLeast"/>
        <w:ind w:left="0" w:firstLine="0"/>
        <w:rPr>
          <w:lang w:val="cs-CZ"/>
        </w:rPr>
      </w:pPr>
      <w:r w:rsidRPr="005025CD">
        <w:rPr>
          <w:lang w:val="cs-CZ"/>
        </w:rPr>
        <w:t>V případech vyžadovaných zákonem lze Emisní podmínky měnit pouze se souhlasem Schůze. Změna Emisních podmínek však vždy vyžaduje souhlas Emitenta.</w:t>
      </w:r>
    </w:p>
    <w:p w:rsidR="00B90CA0" w:rsidRPr="005025CD" w:rsidRDefault="00B90CA0" w:rsidP="00B90CA0">
      <w:pPr>
        <w:pStyle w:val="Level1"/>
        <w:numPr>
          <w:ilvl w:val="0"/>
          <w:numId w:val="38"/>
        </w:numPr>
        <w:rPr>
          <w:rFonts w:hint="eastAsia"/>
          <w:u w:val="single"/>
          <w:lang w:val="cs-CZ"/>
        </w:rPr>
      </w:pPr>
      <w:bookmarkStart w:id="377" w:name="_Toc256000077"/>
      <w:bookmarkStart w:id="378" w:name="_Toc433993948"/>
      <w:bookmarkStart w:id="379" w:name="_Ref435782311"/>
      <w:bookmarkStart w:id="380" w:name="_Toc441155828"/>
      <w:bookmarkStart w:id="381" w:name="_Toc441755428"/>
      <w:bookmarkStart w:id="382" w:name="_Toc457259534"/>
      <w:bookmarkStart w:id="383" w:name="_Ref457487943"/>
      <w:bookmarkStart w:id="384" w:name="_Ref458089575"/>
      <w:bookmarkStart w:id="385" w:name="_Ref459284260"/>
      <w:bookmarkStart w:id="386" w:name="_Ref459284308"/>
      <w:bookmarkStart w:id="387" w:name="_Toc468696803"/>
      <w:bookmarkStart w:id="388" w:name="_Toc507159393"/>
      <w:bookmarkStart w:id="389" w:name="_Ref508200074"/>
      <w:bookmarkStart w:id="390" w:name="_Ref508201830"/>
      <w:bookmarkStart w:id="391" w:name="_Ref10470849"/>
      <w:bookmarkStart w:id="392" w:name="_Toc10478034"/>
      <w:bookmarkStart w:id="393" w:name="_Ref10744451"/>
      <w:bookmarkStart w:id="394" w:name="_Ref11848481"/>
      <w:bookmarkStart w:id="395" w:name="_Ref11848689"/>
      <w:bookmarkStart w:id="396" w:name="_Ref12354951"/>
      <w:bookmarkStart w:id="397" w:name="_Ref13086120"/>
      <w:bookmarkStart w:id="398" w:name="_Ref35886684"/>
      <w:r w:rsidRPr="005025CD">
        <w:rPr>
          <w:u w:val="single"/>
          <w:lang w:val="cs-CZ"/>
        </w:rPr>
        <w:t>Oznámení</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B90CA0" w:rsidRPr="005025CD" w:rsidRDefault="00B90CA0" w:rsidP="00B90CA0">
      <w:pPr>
        <w:pStyle w:val="DocText"/>
        <w:tabs>
          <w:tab w:val="clear" w:pos="720"/>
        </w:tabs>
        <w:spacing w:line="260" w:lineRule="atLeast"/>
        <w:ind w:left="0" w:firstLine="0"/>
        <w:rPr>
          <w:lang w:val="cs-CZ"/>
        </w:rPr>
      </w:pPr>
      <w:r w:rsidRPr="005025CD">
        <w:rPr>
          <w:lang w:val="cs-CZ"/>
        </w:rPr>
        <w:t>Vlastník dluhopisů při koupi Krytých dluhopisů sdělí Emitentovi svoji e-mailovou adresu a korespondenční adresu, na které jim může Emitent zasílat jakákoli oznámení, ledaže bude známá z veřejně dostupných zdrojů. Oznámení bude platné a účinné:</w:t>
      </w:r>
    </w:p>
    <w:p w:rsidR="00B90CA0" w:rsidRPr="005025CD" w:rsidRDefault="00B90CA0" w:rsidP="00B90CA0">
      <w:pPr>
        <w:pStyle w:val="AOGenNum2List"/>
      </w:pPr>
      <w:r w:rsidRPr="005025CD">
        <w:t>okamžikem jeho doručení a převzetí adresátem v případě osobního doručení a zaslání dopisem,</w:t>
      </w:r>
    </w:p>
    <w:p w:rsidR="00B90CA0" w:rsidRPr="005025CD" w:rsidRDefault="00B90CA0" w:rsidP="00B90CA0">
      <w:pPr>
        <w:pStyle w:val="AOGenNum2List"/>
      </w:pPr>
      <w:r w:rsidRPr="005025CD">
        <w:t>okamžikem jeho doručení nebo pokusu o doručení zmařeným adresátem v případě zaslání doporučenou poštou (pokud do zahraničí, tak leteckou poštou) nebo obdobnou poštou (s požadavkem potvrzení doručení);</w:t>
      </w:r>
    </w:p>
    <w:p w:rsidR="00B90CA0" w:rsidRPr="005025CD" w:rsidRDefault="00B90CA0" w:rsidP="00B90CA0">
      <w:pPr>
        <w:pStyle w:val="AOGenNum2List"/>
      </w:pPr>
      <w:r w:rsidRPr="005025CD">
        <w:t>okamžikem doručení při odeslání datovou zprávou prostřednictvím veřejného systému datových schránek a</w:t>
      </w:r>
    </w:p>
    <w:p w:rsidR="00B90CA0" w:rsidRPr="005025CD" w:rsidRDefault="00B90CA0" w:rsidP="00B90CA0">
      <w:pPr>
        <w:pStyle w:val="AOGenNum2List"/>
      </w:pPr>
      <w:r w:rsidRPr="005025CD">
        <w:lastRenderedPageBreak/>
        <w:t xml:space="preserve">okamžikem jeho doručení v případě zaslání e-mailem, přičemž Vlastníci dluhopisů souhlasí s tím, že přijetí doručenky o přijetí e-mailu potvrzuje doručení. </w:t>
      </w:r>
    </w:p>
    <w:p w:rsidR="00B90CA0" w:rsidRPr="005025CD" w:rsidRDefault="00B90CA0" w:rsidP="00B90CA0">
      <w:pPr>
        <w:pStyle w:val="DocText"/>
        <w:tabs>
          <w:tab w:val="clear" w:pos="720"/>
        </w:tabs>
        <w:spacing w:line="260" w:lineRule="atLeast"/>
        <w:ind w:left="0" w:firstLine="0"/>
        <w:rPr>
          <w:lang w:val="cs-CZ"/>
        </w:rPr>
      </w:pPr>
      <w:r w:rsidRPr="005025CD">
        <w:rPr>
          <w:lang w:val="cs-CZ"/>
        </w:rPr>
        <w:t>Stanoví-li kogentní ustanovení relevantních právních předpisů či tyto Emisní podmínky pro uveřejnění oznámení podle Emisních podmínek jiný způsob, bude takové oznámení považováno za uveřejněné splněním postupu podle příslušného právního předpisu. V případě, že bude některé oznámení uveřejňováno více způsoby, bude se za datum takového oznámení považovat datum prvního uveřejnění.</w:t>
      </w:r>
    </w:p>
    <w:p w:rsidR="00B90CA0" w:rsidRPr="005025CD" w:rsidRDefault="00B90CA0" w:rsidP="00B90CA0">
      <w:pPr>
        <w:pStyle w:val="Level1"/>
        <w:numPr>
          <w:ilvl w:val="0"/>
          <w:numId w:val="38"/>
        </w:numPr>
        <w:rPr>
          <w:rFonts w:hint="eastAsia"/>
          <w:u w:val="single"/>
          <w:lang w:val="cs-CZ"/>
        </w:rPr>
      </w:pPr>
      <w:bookmarkStart w:id="399" w:name="_Toc256000078"/>
      <w:bookmarkStart w:id="400" w:name="_Toc373436383"/>
      <w:bookmarkStart w:id="401" w:name="_Toc433993949"/>
      <w:bookmarkStart w:id="402" w:name="_Toc441155829"/>
      <w:bookmarkStart w:id="403" w:name="_Toc441755429"/>
      <w:bookmarkStart w:id="404" w:name="_Toc457259535"/>
      <w:bookmarkStart w:id="405" w:name="_Toc468696804"/>
      <w:bookmarkStart w:id="406" w:name="_Toc507159394"/>
      <w:bookmarkStart w:id="407" w:name="_Toc10478035"/>
      <w:r w:rsidRPr="005025CD">
        <w:rPr>
          <w:u w:val="single"/>
          <w:lang w:val="cs-CZ"/>
        </w:rPr>
        <w:t xml:space="preserve">Rozhodné právo, jazyk a rozhodování </w:t>
      </w:r>
      <w:bookmarkEnd w:id="399"/>
      <w:bookmarkEnd w:id="400"/>
      <w:bookmarkEnd w:id="401"/>
      <w:bookmarkEnd w:id="402"/>
      <w:bookmarkEnd w:id="403"/>
      <w:bookmarkEnd w:id="404"/>
      <w:bookmarkEnd w:id="405"/>
      <w:bookmarkEnd w:id="406"/>
      <w:bookmarkEnd w:id="407"/>
      <w:r w:rsidRPr="005025CD">
        <w:rPr>
          <w:u w:val="single"/>
          <w:lang w:val="cs-CZ"/>
        </w:rPr>
        <w:t>sporů</w:t>
      </w:r>
    </w:p>
    <w:p w:rsidR="00B90CA0" w:rsidRPr="005025CD" w:rsidRDefault="00B90CA0" w:rsidP="00B90CA0">
      <w:pPr>
        <w:pStyle w:val="DocText"/>
        <w:tabs>
          <w:tab w:val="clear" w:pos="720"/>
        </w:tabs>
        <w:spacing w:line="260" w:lineRule="atLeast"/>
        <w:ind w:left="0" w:firstLine="0"/>
        <w:rPr>
          <w:lang w:val="cs-CZ"/>
        </w:rPr>
      </w:pPr>
      <w:r w:rsidRPr="005025CD">
        <w:rPr>
          <w:lang w:val="cs-CZ"/>
        </w:rPr>
        <w:t>Práva a povinnosti vyplývající z Krytých dluhopisů se řídí a budou vykládány v souladu s právními předpisy České republiky. Emisní podmínky mohou být přeloženy do dalších jazyků. Dojde-li k rozporu mezi různými jazykovými verzemi Emisních podmínek, česká verze bude rozhodující.</w:t>
      </w:r>
    </w:p>
    <w:p w:rsidR="00B90CA0" w:rsidRPr="005025CD" w:rsidRDefault="00B90CA0" w:rsidP="00B90CA0">
      <w:pPr>
        <w:pStyle w:val="DocText"/>
        <w:tabs>
          <w:tab w:val="clear" w:pos="720"/>
        </w:tabs>
        <w:spacing w:line="260" w:lineRule="atLeast"/>
        <w:ind w:left="0" w:firstLine="0"/>
        <w:rPr>
          <w:lang w:val="cs-CZ"/>
        </w:rPr>
      </w:pPr>
      <w:r w:rsidRPr="005025CD">
        <w:rPr>
          <w:lang w:val="cs-CZ"/>
        </w:rPr>
        <w:t>Soudem příslušným k řešení veškerých sporů mezi Emitentem a Vlastníky dluhopisů v souvislosti s Krytými dluhopisy (včetně sporů týkajících se mimosmluvních závazkových vztahů vzniklých v souvislosti s nimi a sporů týkajících se jejich existence a platnosti) je výlučně Městský soud v Praze, ledaže v daném případě není dohoda o volbě místní příslušnosti soudu možná a zákon stanoví jiný místně příslušný soud.</w:t>
      </w:r>
    </w:p>
    <w:p w:rsidR="00B90CA0" w:rsidRPr="005025CD" w:rsidRDefault="00B90CA0" w:rsidP="00B90CA0">
      <w:pPr>
        <w:spacing w:line="260" w:lineRule="atLeast"/>
      </w:pPr>
      <w:r w:rsidRPr="005025CD">
        <w:br w:type="page"/>
      </w:r>
    </w:p>
    <w:p w:rsidR="00B90CA0" w:rsidRPr="005025CD" w:rsidRDefault="00B90CA0" w:rsidP="00B90CA0">
      <w:pPr>
        <w:pStyle w:val="DocText"/>
        <w:tabs>
          <w:tab w:val="clear" w:pos="720"/>
        </w:tabs>
        <w:spacing w:line="260" w:lineRule="atLeast"/>
        <w:ind w:left="0" w:firstLine="0"/>
        <w:rPr>
          <w:lang w:val="cs-CZ"/>
        </w:rPr>
      </w:pPr>
    </w:p>
    <w:p w:rsidR="00B90CA0" w:rsidRPr="005025CD" w:rsidRDefault="00B90CA0" w:rsidP="00B90CA0">
      <w:pPr>
        <w:pStyle w:val="Level1"/>
        <w:keepNext w:val="0"/>
        <w:numPr>
          <w:ilvl w:val="0"/>
          <w:numId w:val="38"/>
        </w:numPr>
        <w:rPr>
          <w:rFonts w:hint="eastAsia"/>
          <w:u w:val="single"/>
          <w:lang w:val="cs-CZ"/>
        </w:rPr>
      </w:pPr>
      <w:bookmarkStart w:id="408" w:name="_Toc468696805"/>
      <w:bookmarkStart w:id="409" w:name="_Toc507159395"/>
      <w:bookmarkStart w:id="410" w:name="_Ref508197101"/>
      <w:bookmarkStart w:id="411" w:name="_Toc10478036"/>
      <w:r w:rsidRPr="005025CD">
        <w:rPr>
          <w:u w:val="single"/>
          <w:lang w:val="cs-CZ"/>
        </w:rPr>
        <w:t>Definice</w:t>
      </w:r>
      <w:bookmarkEnd w:id="408"/>
      <w:bookmarkEnd w:id="409"/>
      <w:bookmarkEnd w:id="410"/>
      <w:bookmarkEnd w:id="411"/>
    </w:p>
    <w:p w:rsidR="00B90CA0" w:rsidRPr="005025CD" w:rsidRDefault="00B90CA0" w:rsidP="00B90CA0">
      <w:pPr>
        <w:pStyle w:val="DocText"/>
        <w:tabs>
          <w:tab w:val="clear" w:pos="720"/>
        </w:tabs>
        <w:spacing w:line="260" w:lineRule="atLeast"/>
        <w:ind w:left="0" w:firstLine="0"/>
        <w:rPr>
          <w:lang w:val="cs-CZ"/>
        </w:rPr>
      </w:pPr>
      <w:r w:rsidRPr="005025CD">
        <w:rPr>
          <w:lang w:val="cs-CZ"/>
        </w:rPr>
        <w:t>Pojmy definované v jednotném nebo množném čísle mají v těchto Emisních podmínkách stejný význam, i pokud jsou použity v množném, respektive jednotném čísle.</w:t>
      </w:r>
    </w:p>
    <w:p w:rsidR="00B90CA0" w:rsidRPr="005025CD" w:rsidRDefault="00B90CA0" w:rsidP="00B90CA0">
      <w:pPr>
        <w:pStyle w:val="DocText"/>
        <w:tabs>
          <w:tab w:val="clear" w:pos="720"/>
        </w:tabs>
        <w:spacing w:line="260" w:lineRule="atLeast"/>
        <w:ind w:left="0" w:firstLine="0"/>
        <w:rPr>
          <w:lang w:val="cs-CZ"/>
        </w:rPr>
      </w:pPr>
      <w:r w:rsidRPr="005025CD">
        <w:rPr>
          <w:lang w:val="cs-CZ"/>
        </w:rPr>
        <w:t>Nad rámec pojmů již definovaných v textu Emisních podmínek mají pro účel Emisních podmínek následující pojmy níže uvedený význam:</w:t>
      </w:r>
    </w:p>
    <w:p w:rsidR="00B90CA0" w:rsidRPr="005025CD" w:rsidRDefault="00B90CA0" w:rsidP="00B90CA0">
      <w:pPr>
        <w:pStyle w:val="DocText"/>
        <w:tabs>
          <w:tab w:val="clear" w:pos="720"/>
        </w:tabs>
        <w:spacing w:line="260" w:lineRule="atLeast"/>
        <w:ind w:left="0" w:firstLine="0"/>
        <w:rPr>
          <w:lang w:val="cs-CZ"/>
        </w:rPr>
      </w:pPr>
      <w:r w:rsidRPr="005025CD">
        <w:rPr>
          <w:b/>
          <w:lang w:val="cs-CZ"/>
        </w:rPr>
        <w:t>Centrální depozitář</w:t>
      </w:r>
      <w:r w:rsidRPr="005025CD">
        <w:rPr>
          <w:lang w:val="cs-CZ"/>
        </w:rPr>
        <w:fldChar w:fldCharType="begin"/>
      </w:r>
      <w:r w:rsidRPr="005025CD">
        <w:rPr>
          <w:lang w:val="cs-CZ"/>
        </w:rPr>
        <w:instrText xml:space="preserve"> XE "Centrální depozitář" </w:instrText>
      </w:r>
      <w:r w:rsidRPr="005025CD">
        <w:rPr>
          <w:lang w:val="cs-CZ"/>
        </w:rPr>
        <w:fldChar w:fldCharType="end"/>
      </w:r>
      <w:r w:rsidRPr="005025CD">
        <w:rPr>
          <w:lang w:val="cs-CZ"/>
        </w:rPr>
        <w:t xml:space="preserve"> znamená společnost Centrální depozitář cenných papírů, a.s., se sídlem Praha 1, Rybná 14, PSČ 110 05, IČO: 250 81 489, zapsanou v obchodním rejstříku vedeném Městským soudem v Praze, </w:t>
      </w:r>
      <w:proofErr w:type="spellStart"/>
      <w:r w:rsidRPr="005025CD">
        <w:rPr>
          <w:lang w:val="cs-CZ"/>
        </w:rPr>
        <w:t>sp</w:t>
      </w:r>
      <w:proofErr w:type="spellEnd"/>
      <w:r w:rsidRPr="005025CD">
        <w:rPr>
          <w:lang w:val="cs-CZ"/>
        </w:rPr>
        <w:t>. zn. B 4308.</w:t>
      </w:r>
    </w:p>
    <w:p w:rsidR="00B90CA0" w:rsidRPr="005025CD" w:rsidRDefault="00B90CA0" w:rsidP="00B90CA0">
      <w:pPr>
        <w:pStyle w:val="DocText"/>
        <w:tabs>
          <w:tab w:val="clear" w:pos="720"/>
        </w:tabs>
        <w:spacing w:line="260" w:lineRule="atLeast"/>
        <w:ind w:left="0" w:firstLine="0"/>
        <w:rPr>
          <w:lang w:val="cs-CZ"/>
        </w:rPr>
      </w:pPr>
      <w:r w:rsidRPr="005025CD">
        <w:rPr>
          <w:b/>
          <w:lang w:val="cs-CZ"/>
        </w:rPr>
        <w:t>Česká národní banka</w:t>
      </w:r>
      <w:r w:rsidRPr="005025CD">
        <w:rPr>
          <w:lang w:val="cs-CZ"/>
        </w:rPr>
        <w:fldChar w:fldCharType="begin"/>
      </w:r>
      <w:r w:rsidRPr="005025CD">
        <w:rPr>
          <w:lang w:val="cs-CZ"/>
        </w:rPr>
        <w:instrText xml:space="preserve"> XE "Česká národní banka" </w:instrText>
      </w:r>
      <w:r w:rsidRPr="005025CD">
        <w:rPr>
          <w:lang w:val="cs-CZ"/>
        </w:rPr>
        <w:fldChar w:fldCharType="end"/>
      </w:r>
      <w:r w:rsidRPr="005025CD">
        <w:rPr>
          <w:lang w:val="cs-CZ"/>
        </w:rPr>
        <w:t xml:space="preserve"> znamená Českou národní banku ve smyslu zákona č. 6/1993 Sb., o České národní bance, v platném znění.</w:t>
      </w:r>
    </w:p>
    <w:p w:rsidR="00B90CA0" w:rsidRPr="005025CD" w:rsidRDefault="00B90CA0" w:rsidP="00B90CA0">
      <w:pPr>
        <w:pStyle w:val="DocText"/>
        <w:tabs>
          <w:tab w:val="clear" w:pos="720"/>
        </w:tabs>
        <w:spacing w:line="260" w:lineRule="atLeast"/>
        <w:ind w:left="0" w:firstLine="0"/>
        <w:rPr>
          <w:lang w:val="cs-CZ"/>
        </w:rPr>
      </w:pPr>
      <w:r w:rsidRPr="005025CD">
        <w:rPr>
          <w:b/>
          <w:lang w:val="cs-CZ"/>
        </w:rPr>
        <w:t xml:space="preserve">Den předčasné splatnosti </w:t>
      </w:r>
      <w:r w:rsidRPr="005025CD">
        <w:rPr>
          <w:lang w:val="cs-CZ"/>
        </w:rPr>
        <w:t>má význam uvedený v </w:t>
      </w:r>
      <w:proofErr w:type="gramStart"/>
      <w:r w:rsidRPr="005025CD">
        <w:rPr>
          <w:lang w:val="cs-CZ"/>
        </w:rPr>
        <w:t xml:space="preserve">článcích </w:t>
      </w:r>
      <w:r w:rsidRPr="005025CD">
        <w:rPr>
          <w:lang w:val="cs-CZ"/>
        </w:rPr>
        <w:fldChar w:fldCharType="begin"/>
      </w:r>
      <w:r w:rsidRPr="005025CD">
        <w:rPr>
          <w:lang w:val="cs-CZ"/>
        </w:rPr>
        <w:instrText xml:space="preserve"> REF _Ref508199297 \w \h </w:instrText>
      </w:r>
      <w:r>
        <w:rPr>
          <w:lang w:val="cs-CZ"/>
        </w:rPr>
        <w:instrText xml:space="preserve"> \* MERGEFORMAT </w:instrText>
      </w:r>
      <w:r w:rsidRPr="005025CD">
        <w:rPr>
          <w:lang w:val="cs-CZ"/>
        </w:rPr>
      </w:r>
      <w:r w:rsidRPr="005025CD">
        <w:rPr>
          <w:lang w:val="cs-CZ"/>
        </w:rPr>
        <w:fldChar w:fldCharType="separate"/>
      </w:r>
      <w:r w:rsidR="00723DD2">
        <w:rPr>
          <w:lang w:val="cs-CZ"/>
        </w:rPr>
        <w:t>5.4</w:t>
      </w:r>
      <w:r w:rsidRPr="005025CD">
        <w:rPr>
          <w:lang w:val="cs-CZ"/>
        </w:rPr>
        <w:fldChar w:fldCharType="end"/>
      </w:r>
      <w:r w:rsidRPr="005025CD">
        <w:rPr>
          <w:lang w:val="cs-CZ"/>
        </w:rPr>
        <w:t xml:space="preserve"> a </w:t>
      </w:r>
      <w:r w:rsidRPr="005025CD">
        <w:rPr>
          <w:lang w:val="cs-CZ"/>
        </w:rPr>
        <w:fldChar w:fldCharType="begin"/>
      </w:r>
      <w:r w:rsidRPr="005025CD">
        <w:rPr>
          <w:lang w:val="cs-CZ"/>
        </w:rPr>
        <w:instrText xml:space="preserve"> REF _Ref426652074 \r \h  \* MERGEFORMAT </w:instrText>
      </w:r>
      <w:r w:rsidRPr="005025CD">
        <w:rPr>
          <w:lang w:val="cs-CZ"/>
        </w:rPr>
      </w:r>
      <w:r w:rsidRPr="005025CD">
        <w:rPr>
          <w:lang w:val="cs-CZ"/>
        </w:rPr>
        <w:fldChar w:fldCharType="separate"/>
      </w:r>
      <w:r w:rsidR="00723DD2">
        <w:rPr>
          <w:lang w:val="cs-CZ"/>
        </w:rPr>
        <w:t>9.4.1</w:t>
      </w:r>
      <w:proofErr w:type="gramEnd"/>
      <w:r w:rsidRPr="005025CD">
        <w:rPr>
          <w:lang w:val="cs-CZ"/>
        </w:rPr>
        <w:fldChar w:fldCharType="end"/>
      </w:r>
      <w:r w:rsidRPr="005025CD">
        <w:rPr>
          <w:lang w:val="cs-CZ"/>
        </w:rPr>
        <w:t>.</w:t>
      </w:r>
    </w:p>
    <w:p w:rsidR="00B90CA0" w:rsidRPr="005025CD" w:rsidRDefault="00B90CA0" w:rsidP="00B90CA0">
      <w:pPr>
        <w:pStyle w:val="DocText"/>
        <w:tabs>
          <w:tab w:val="clear" w:pos="720"/>
        </w:tabs>
        <w:spacing w:line="260" w:lineRule="atLeast"/>
        <w:ind w:left="0" w:firstLine="0"/>
        <w:rPr>
          <w:lang w:val="cs-CZ"/>
        </w:rPr>
      </w:pPr>
      <w:r w:rsidRPr="005025CD">
        <w:rPr>
          <w:b/>
          <w:lang w:val="cs-CZ"/>
        </w:rPr>
        <w:t>eur</w:t>
      </w:r>
      <w:r w:rsidRPr="005025CD">
        <w:rPr>
          <w:lang w:val="cs-CZ"/>
        </w:rPr>
        <w:fldChar w:fldCharType="begin"/>
      </w:r>
      <w:r w:rsidRPr="005025CD">
        <w:rPr>
          <w:lang w:val="cs-CZ"/>
        </w:rPr>
        <w:instrText xml:space="preserve"> XE "eur" </w:instrText>
      </w:r>
      <w:r w:rsidRPr="005025CD">
        <w:rPr>
          <w:lang w:val="cs-CZ"/>
        </w:rPr>
        <w:fldChar w:fldCharType="end"/>
      </w:r>
      <w:r w:rsidRPr="005025CD">
        <w:rPr>
          <w:lang w:val="cs-CZ"/>
        </w:rPr>
        <w:t xml:space="preserve"> znamená jednotnou měnu Evropské unie.</w:t>
      </w:r>
    </w:p>
    <w:p w:rsidR="00B90CA0" w:rsidRPr="005025CD" w:rsidRDefault="00B90CA0" w:rsidP="00B90CA0">
      <w:pPr>
        <w:pStyle w:val="DocText"/>
        <w:tabs>
          <w:tab w:val="clear" w:pos="720"/>
        </w:tabs>
        <w:spacing w:line="260" w:lineRule="atLeast"/>
        <w:ind w:left="0" w:firstLine="0"/>
        <w:rPr>
          <w:b/>
          <w:lang w:val="cs-CZ"/>
        </w:rPr>
      </w:pPr>
      <w:r w:rsidRPr="005025CD">
        <w:rPr>
          <w:b/>
          <w:lang w:val="cs-CZ"/>
        </w:rPr>
        <w:t>Kč</w:t>
      </w:r>
      <w:r w:rsidRPr="005025CD">
        <w:rPr>
          <w:lang w:val="cs-CZ"/>
        </w:rPr>
        <w:fldChar w:fldCharType="begin"/>
      </w:r>
      <w:r w:rsidRPr="005025CD">
        <w:rPr>
          <w:lang w:val="cs-CZ"/>
        </w:rPr>
        <w:instrText xml:space="preserve"> XE "Kč" </w:instrText>
      </w:r>
      <w:r w:rsidRPr="005025CD">
        <w:rPr>
          <w:lang w:val="cs-CZ"/>
        </w:rPr>
        <w:fldChar w:fldCharType="end"/>
      </w:r>
      <w:r w:rsidRPr="005025CD">
        <w:rPr>
          <w:lang w:val="cs-CZ"/>
        </w:rPr>
        <w:t>,</w:t>
      </w:r>
      <w:r w:rsidRPr="005025CD">
        <w:rPr>
          <w:b/>
          <w:lang w:val="cs-CZ"/>
        </w:rPr>
        <w:t xml:space="preserve"> česká koruna</w:t>
      </w:r>
      <w:r w:rsidRPr="005025CD">
        <w:rPr>
          <w:b/>
          <w:lang w:val="cs-CZ"/>
        </w:rPr>
        <w:fldChar w:fldCharType="begin"/>
      </w:r>
      <w:r w:rsidRPr="005025CD">
        <w:rPr>
          <w:lang w:val="cs-CZ"/>
        </w:rPr>
        <w:instrText xml:space="preserve"> XE "česká koruna" </w:instrText>
      </w:r>
      <w:r w:rsidRPr="005025CD">
        <w:rPr>
          <w:b/>
          <w:lang w:val="cs-CZ"/>
        </w:rPr>
        <w:fldChar w:fldCharType="end"/>
      </w:r>
      <w:r w:rsidRPr="005025CD">
        <w:rPr>
          <w:b/>
          <w:lang w:val="cs-CZ"/>
        </w:rPr>
        <w:t>, koruna česká</w:t>
      </w:r>
      <w:r w:rsidRPr="005025CD">
        <w:rPr>
          <w:b/>
          <w:lang w:val="cs-CZ"/>
        </w:rPr>
        <w:fldChar w:fldCharType="begin"/>
      </w:r>
      <w:r w:rsidRPr="005025CD">
        <w:rPr>
          <w:lang w:val="cs-CZ"/>
        </w:rPr>
        <w:instrText xml:space="preserve"> XE "koruna česká" </w:instrText>
      </w:r>
      <w:r w:rsidRPr="005025CD">
        <w:rPr>
          <w:b/>
          <w:lang w:val="cs-CZ"/>
        </w:rPr>
        <w:fldChar w:fldCharType="end"/>
      </w:r>
      <w:r w:rsidRPr="005025CD">
        <w:rPr>
          <w:lang w:val="cs-CZ"/>
        </w:rPr>
        <w:t xml:space="preserve"> znamená korunu českou, zákonnou měnu České republiky.</w:t>
      </w:r>
    </w:p>
    <w:p w:rsidR="00B90CA0" w:rsidRPr="005025CD" w:rsidRDefault="00B90CA0" w:rsidP="00B90CA0">
      <w:pPr>
        <w:pStyle w:val="DocText"/>
        <w:tabs>
          <w:tab w:val="clear" w:pos="720"/>
        </w:tabs>
        <w:spacing w:line="260" w:lineRule="atLeast"/>
        <w:ind w:left="0" w:firstLine="0"/>
        <w:rPr>
          <w:lang w:val="cs-CZ"/>
        </w:rPr>
      </w:pPr>
      <w:r w:rsidRPr="005025CD">
        <w:rPr>
          <w:b/>
          <w:lang w:val="cs-CZ"/>
        </w:rPr>
        <w:t>Kvalifikovaná většina</w:t>
      </w:r>
      <w:r w:rsidRPr="005025CD">
        <w:rPr>
          <w:b/>
          <w:lang w:val="cs-CZ"/>
        </w:rPr>
        <w:fldChar w:fldCharType="begin"/>
      </w:r>
      <w:r w:rsidRPr="005025CD">
        <w:rPr>
          <w:lang w:val="cs-CZ"/>
        </w:rPr>
        <w:instrText xml:space="preserve"> XE "Kvalifikovanou většinou" </w:instrText>
      </w:r>
      <w:r w:rsidRPr="005025CD">
        <w:rPr>
          <w:b/>
          <w:lang w:val="cs-CZ"/>
        </w:rPr>
        <w:fldChar w:fldCharType="end"/>
      </w:r>
      <w:r w:rsidRPr="005025CD">
        <w:rPr>
          <w:lang w:val="cs-CZ"/>
        </w:rPr>
        <w:t xml:space="preserve"> znamená ¾ většinu hlasů přítomných Osob oprávněných k účasti na schůzi.</w:t>
      </w:r>
    </w:p>
    <w:p w:rsidR="00B90CA0" w:rsidRPr="005025CD" w:rsidRDefault="00B90CA0" w:rsidP="00B90CA0">
      <w:pPr>
        <w:pStyle w:val="DocText"/>
        <w:tabs>
          <w:tab w:val="clear" w:pos="720"/>
        </w:tabs>
        <w:spacing w:line="260" w:lineRule="atLeast"/>
        <w:ind w:left="0" w:firstLine="0"/>
        <w:rPr>
          <w:lang w:val="cs-CZ"/>
        </w:rPr>
      </w:pPr>
      <w:r w:rsidRPr="005025CD">
        <w:rPr>
          <w:b/>
          <w:lang w:val="cs-CZ"/>
        </w:rPr>
        <w:t>Nařízení o prospektu</w:t>
      </w:r>
      <w:r w:rsidRPr="005025CD">
        <w:rPr>
          <w:lang w:val="cs-CZ"/>
        </w:rPr>
        <w:t xml:space="preserve"> </w:t>
      </w:r>
      <w:r w:rsidRPr="005025CD">
        <w:rPr>
          <w:lang w:val="cs-CZ"/>
        </w:rPr>
        <w:fldChar w:fldCharType="begin"/>
      </w:r>
      <w:r w:rsidRPr="005025CD">
        <w:rPr>
          <w:lang w:val="cs-CZ"/>
        </w:rPr>
        <w:instrText xml:space="preserve"> XE "Nařízení o prospektu" </w:instrText>
      </w:r>
      <w:r w:rsidRPr="005025CD">
        <w:rPr>
          <w:lang w:val="cs-CZ"/>
        </w:rPr>
        <w:fldChar w:fldCharType="end"/>
      </w:r>
      <w:r w:rsidRPr="005025CD">
        <w:rPr>
          <w:lang w:val="cs-CZ"/>
        </w:rPr>
        <w:t xml:space="preserve"> znamená nařízení Evropského parlamentu a Rady (EU) 2017/1129 ze dne 14. června 2017 o prospektu, který má být uveřejněn při veřejné nabídce nebo přijetí cenných papírů k obchodování na regulovaném trhu, a o zrušení směrnice 2003/71/ES.</w:t>
      </w:r>
    </w:p>
    <w:p w:rsidR="00B90CA0" w:rsidRPr="005025CD" w:rsidRDefault="00B90CA0" w:rsidP="00B90CA0">
      <w:pPr>
        <w:pStyle w:val="DocText"/>
        <w:tabs>
          <w:tab w:val="clear" w:pos="720"/>
        </w:tabs>
        <w:spacing w:line="260" w:lineRule="atLeast"/>
        <w:ind w:left="0" w:firstLine="0"/>
        <w:rPr>
          <w:lang w:val="cs-CZ"/>
        </w:rPr>
      </w:pPr>
      <w:r w:rsidRPr="005025CD">
        <w:rPr>
          <w:b/>
          <w:lang w:val="cs-CZ"/>
        </w:rPr>
        <w:t>Pracovním dnem</w:t>
      </w:r>
      <w:r w:rsidRPr="005025CD">
        <w:rPr>
          <w:lang w:val="cs-CZ"/>
        </w:rPr>
        <w:fldChar w:fldCharType="begin"/>
      </w:r>
      <w:r w:rsidRPr="005025CD">
        <w:rPr>
          <w:lang w:val="cs-CZ"/>
        </w:rPr>
        <w:instrText xml:space="preserve"> XE "Pracovní den" </w:instrText>
      </w:r>
      <w:r w:rsidRPr="005025CD">
        <w:rPr>
          <w:lang w:val="cs-CZ"/>
        </w:rPr>
        <w:fldChar w:fldCharType="end"/>
      </w:r>
      <w:r w:rsidRPr="005025CD">
        <w:rPr>
          <w:lang w:val="cs-CZ"/>
        </w:rPr>
        <w:t xml:space="preserve"> se pro účely Emisních podmínek rozumí jakýkoliv den (vyjma soboty a neděle), kdy jsou otevřeny banky v České republice a je prováděno vypořádání devizových obchodů a mezibankovních plateb v českých korunách, případně jiné zákonné měně České republiky, která by českou korunu nahradila.</w:t>
      </w:r>
    </w:p>
    <w:p w:rsidR="00B90CA0" w:rsidRPr="005025CD" w:rsidRDefault="00B90CA0" w:rsidP="00B90CA0">
      <w:pPr>
        <w:pStyle w:val="DocText"/>
        <w:tabs>
          <w:tab w:val="clear" w:pos="720"/>
        </w:tabs>
        <w:spacing w:line="260" w:lineRule="atLeast"/>
        <w:ind w:left="0" w:firstLine="0"/>
        <w:rPr>
          <w:lang w:val="cs-CZ"/>
        </w:rPr>
      </w:pPr>
      <w:r w:rsidRPr="005025CD">
        <w:rPr>
          <w:b/>
          <w:lang w:val="cs-CZ"/>
        </w:rPr>
        <w:t>Rozhodný den pro účast na schůzi</w:t>
      </w:r>
      <w:r w:rsidRPr="005025CD">
        <w:rPr>
          <w:b/>
          <w:lang w:val="cs-CZ"/>
        </w:rPr>
        <w:fldChar w:fldCharType="begin"/>
      </w:r>
      <w:r w:rsidRPr="005025CD">
        <w:rPr>
          <w:lang w:val="cs-CZ"/>
        </w:rPr>
        <w:instrText xml:space="preserve"> XE "Rozhodný den pro účast na schůzi" </w:instrText>
      </w:r>
      <w:r w:rsidRPr="005025CD">
        <w:rPr>
          <w:b/>
          <w:lang w:val="cs-CZ"/>
        </w:rPr>
        <w:fldChar w:fldCharType="end"/>
      </w:r>
      <w:r w:rsidRPr="005025CD">
        <w:rPr>
          <w:lang w:val="cs-CZ"/>
        </w:rPr>
        <w:t xml:space="preserve"> má význam uvedený v </w:t>
      </w:r>
      <w:proofErr w:type="gramStart"/>
      <w:r w:rsidRPr="005025CD">
        <w:rPr>
          <w:lang w:val="cs-CZ"/>
        </w:rPr>
        <w:t xml:space="preserve">článku </w:t>
      </w:r>
      <w:r w:rsidRPr="005025CD">
        <w:rPr>
          <w:lang w:val="cs-CZ"/>
        </w:rPr>
        <w:fldChar w:fldCharType="begin"/>
      </w:r>
      <w:r w:rsidRPr="005025CD">
        <w:rPr>
          <w:lang w:val="cs-CZ"/>
        </w:rPr>
        <w:instrText xml:space="preserve"> REF _Ref426727240 \r \h </w:instrText>
      </w:r>
      <w:r>
        <w:rPr>
          <w:lang w:val="cs-CZ"/>
        </w:rPr>
        <w:instrText xml:space="preserve"> \* MERGEFORMAT </w:instrText>
      </w:r>
      <w:r w:rsidRPr="005025CD">
        <w:rPr>
          <w:lang w:val="cs-CZ"/>
        </w:rPr>
      </w:r>
      <w:r w:rsidRPr="005025CD">
        <w:rPr>
          <w:lang w:val="cs-CZ"/>
        </w:rPr>
        <w:fldChar w:fldCharType="separate"/>
      </w:r>
      <w:r w:rsidR="00723DD2">
        <w:rPr>
          <w:lang w:val="cs-CZ"/>
        </w:rPr>
        <w:t>9.2.1</w:t>
      </w:r>
      <w:proofErr w:type="gramEnd"/>
      <w:r w:rsidRPr="005025CD">
        <w:rPr>
          <w:lang w:val="cs-CZ"/>
        </w:rPr>
        <w:fldChar w:fldCharType="end"/>
      </w:r>
      <w:r w:rsidRPr="005025CD">
        <w:rPr>
          <w:lang w:val="cs-CZ"/>
        </w:rPr>
        <w:t>.</w:t>
      </w:r>
    </w:p>
    <w:p w:rsidR="00B90CA0" w:rsidRPr="005025CD" w:rsidRDefault="00B90CA0" w:rsidP="00B90CA0">
      <w:pPr>
        <w:pStyle w:val="DocText"/>
        <w:tabs>
          <w:tab w:val="clear" w:pos="720"/>
        </w:tabs>
        <w:spacing w:line="260" w:lineRule="atLeast"/>
        <w:ind w:left="0" w:firstLine="0"/>
        <w:rPr>
          <w:lang w:val="cs-CZ"/>
        </w:rPr>
      </w:pPr>
      <w:r w:rsidRPr="005025CD">
        <w:rPr>
          <w:b/>
          <w:lang w:val="cs-CZ"/>
        </w:rPr>
        <w:t>Rozhodný den pro výplatu</w:t>
      </w:r>
      <w:r w:rsidRPr="005025CD">
        <w:rPr>
          <w:b/>
          <w:lang w:val="cs-CZ"/>
        </w:rPr>
        <w:fldChar w:fldCharType="begin"/>
      </w:r>
      <w:r w:rsidRPr="005025CD">
        <w:rPr>
          <w:lang w:val="cs-CZ"/>
        </w:rPr>
        <w:instrText xml:space="preserve"> XE "Rozhodný den pro výplatu" </w:instrText>
      </w:r>
      <w:r w:rsidRPr="005025CD">
        <w:rPr>
          <w:b/>
          <w:lang w:val="cs-CZ"/>
        </w:rPr>
        <w:fldChar w:fldCharType="end"/>
      </w:r>
      <w:r w:rsidRPr="005025CD">
        <w:rPr>
          <w:lang w:val="cs-CZ"/>
        </w:rPr>
        <w:t xml:space="preserve"> je den, který o 30 dní předchází příslušnému Dni výplaty, přičemž však platí, že pro účely zjištění Rozhodného dne pro výplatu se příslušný Den výplaty neposouvá v souladu s konvencí Pracovního dne. </w:t>
      </w:r>
    </w:p>
    <w:p w:rsidR="00B90CA0" w:rsidRPr="005025CD" w:rsidRDefault="00B90CA0" w:rsidP="00B90CA0">
      <w:pPr>
        <w:numPr>
          <w:ilvl w:val="0"/>
          <w:numId w:val="21"/>
        </w:numPr>
        <w:spacing w:before="240" w:line="260" w:lineRule="atLeast"/>
        <w:jc w:val="both"/>
      </w:pPr>
      <w:r w:rsidRPr="005025CD">
        <w:rPr>
          <w:b/>
        </w:rPr>
        <w:t>Výnosovým obdobím</w:t>
      </w:r>
      <w:r w:rsidRPr="005025CD">
        <w:rPr>
          <w:b/>
        </w:rPr>
        <w:fldChar w:fldCharType="begin"/>
      </w:r>
      <w:r w:rsidRPr="005025CD">
        <w:instrText xml:space="preserve"> XE "Výnosové období" </w:instrText>
      </w:r>
      <w:r w:rsidRPr="005025CD">
        <w:rPr>
          <w:b/>
        </w:rPr>
        <w:fldChar w:fldCharType="end"/>
      </w:r>
      <w:r w:rsidRPr="005025CD">
        <w:t xml:space="preserve"> se pro účely Emisních podmínek rozumí období jednoho roku počínající Datem emise (včetně) a končící v pořadí prvním Dnem výplaty úroků (tento den vyjímaje) a dále každé další bezprostředně navazující roční období počínající Dnem výplaty úroků (včetně) a končící dalším následujícím Dnem výplaty úroků (tento den vyjímaje), až do Dne konečné splatnosti (tento den vyjímaje). Pro účely počátku běhu kteréhokoli Výnosového období se Den výplaty úroků neposouvá v souladu s konvencí Pracovního dne podle </w:t>
      </w:r>
      <w:proofErr w:type="gramStart"/>
      <w:r w:rsidRPr="005025CD">
        <w:t xml:space="preserve">článku </w:t>
      </w:r>
      <w:r w:rsidRPr="005025CD">
        <w:fldChar w:fldCharType="begin"/>
      </w:r>
      <w:r w:rsidRPr="005025CD">
        <w:instrText xml:space="preserve"> REF _Ref426727104 \n \h  \* MERGEFORMAT </w:instrText>
      </w:r>
      <w:r w:rsidRPr="005025CD">
        <w:fldChar w:fldCharType="separate"/>
      </w:r>
      <w:r w:rsidR="00723DD2">
        <w:t>6.3</w:t>
      </w:r>
      <w:r w:rsidRPr="005025CD">
        <w:fldChar w:fldCharType="end"/>
      </w:r>
      <w:r w:rsidRPr="005025CD">
        <w:t>.</w:t>
      </w:r>
      <w:proofErr w:type="gramEnd"/>
      <w:r w:rsidRPr="005025CD" w:rsidDel="00A7245C">
        <w:t xml:space="preserve"> </w:t>
      </w:r>
    </w:p>
    <w:p w:rsidR="00B90CA0" w:rsidRPr="005025CD" w:rsidRDefault="00B90CA0" w:rsidP="00B90CA0">
      <w:pPr>
        <w:spacing w:line="260" w:lineRule="atLeast"/>
      </w:pPr>
      <w:r w:rsidRPr="005025CD">
        <w:br w:type="page"/>
      </w:r>
    </w:p>
    <w:p w:rsidR="00B90CA0" w:rsidRPr="005025CD" w:rsidRDefault="00B90CA0" w:rsidP="00B90CA0">
      <w:pPr>
        <w:numPr>
          <w:ilvl w:val="0"/>
          <w:numId w:val="21"/>
        </w:numPr>
        <w:spacing w:before="240" w:line="260" w:lineRule="atLeast"/>
        <w:jc w:val="both"/>
        <w:rPr>
          <w:noProof/>
        </w:rPr>
      </w:pPr>
      <w:r w:rsidRPr="005025CD">
        <w:rPr>
          <w:b/>
        </w:rPr>
        <w:lastRenderedPageBreak/>
        <w:t>INDEX DEFINIC</w:t>
      </w:r>
    </w:p>
    <w:p w:rsidR="00723DD2" w:rsidRDefault="00B90CA0" w:rsidP="00B90CA0">
      <w:pPr>
        <w:numPr>
          <w:ilvl w:val="0"/>
          <w:numId w:val="21"/>
        </w:numPr>
        <w:spacing w:before="240" w:line="260" w:lineRule="atLeast"/>
        <w:jc w:val="both"/>
        <w:rPr>
          <w:b/>
          <w:noProof/>
        </w:rPr>
        <w:sectPr w:rsidR="00723DD2" w:rsidSect="000865B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588" w:right="1134" w:bottom="1021" w:left="1134" w:header="851" w:footer="454" w:gutter="0"/>
          <w:cols w:space="708"/>
          <w:docGrid w:linePitch="360"/>
        </w:sectPr>
      </w:pPr>
      <w:r w:rsidRPr="005025CD">
        <w:rPr>
          <w:b/>
        </w:rPr>
        <w:fldChar w:fldCharType="begin"/>
      </w:r>
      <w:r w:rsidRPr="005025CD">
        <w:rPr>
          <w:b/>
        </w:rPr>
        <w:instrText xml:space="preserve"> INDEX \c "2" \z "1029" </w:instrText>
      </w:r>
      <w:r w:rsidRPr="005025CD">
        <w:rPr>
          <w:b/>
        </w:rPr>
        <w:fldChar w:fldCharType="separate"/>
      </w:r>
    </w:p>
    <w:p w:rsidR="00723DD2" w:rsidRDefault="00723DD2">
      <w:pPr>
        <w:pStyle w:val="Index1"/>
        <w:tabs>
          <w:tab w:val="right" w:leader="dot" w:pos="4455"/>
        </w:tabs>
        <w:rPr>
          <w:noProof/>
        </w:rPr>
      </w:pPr>
      <w:r>
        <w:rPr>
          <w:noProof/>
        </w:rPr>
        <w:t>Běžné pohledávky, 4</w:t>
      </w:r>
    </w:p>
    <w:p w:rsidR="00723DD2" w:rsidRDefault="00723DD2">
      <w:pPr>
        <w:pStyle w:val="Index1"/>
        <w:tabs>
          <w:tab w:val="right" w:leader="dot" w:pos="4455"/>
        </w:tabs>
        <w:rPr>
          <w:noProof/>
        </w:rPr>
      </w:pPr>
      <w:r>
        <w:rPr>
          <w:noProof/>
        </w:rPr>
        <w:t>Centrální depozitář, 15</w:t>
      </w:r>
    </w:p>
    <w:p w:rsidR="00723DD2" w:rsidRDefault="00723DD2">
      <w:pPr>
        <w:pStyle w:val="Index1"/>
        <w:tabs>
          <w:tab w:val="right" w:leader="dot" w:pos="4455"/>
        </w:tabs>
        <w:rPr>
          <w:noProof/>
        </w:rPr>
      </w:pPr>
      <w:r>
        <w:rPr>
          <w:noProof/>
        </w:rPr>
        <w:t>CRR, 5</w:t>
      </w:r>
    </w:p>
    <w:p w:rsidR="00723DD2" w:rsidRDefault="00723DD2">
      <w:pPr>
        <w:pStyle w:val="Index1"/>
        <w:tabs>
          <w:tab w:val="right" w:leader="dot" w:pos="4455"/>
        </w:tabs>
        <w:rPr>
          <w:noProof/>
        </w:rPr>
      </w:pPr>
      <w:r>
        <w:rPr>
          <w:noProof/>
        </w:rPr>
        <w:t>česká koruna, 15</w:t>
      </w:r>
    </w:p>
    <w:p w:rsidR="00723DD2" w:rsidRDefault="00723DD2">
      <w:pPr>
        <w:pStyle w:val="Index1"/>
        <w:tabs>
          <w:tab w:val="right" w:leader="dot" w:pos="4455"/>
        </w:tabs>
        <w:rPr>
          <w:noProof/>
        </w:rPr>
      </w:pPr>
      <w:r>
        <w:rPr>
          <w:noProof/>
        </w:rPr>
        <w:t>Česká národní banka, 15</w:t>
      </w:r>
    </w:p>
    <w:p w:rsidR="00723DD2" w:rsidRDefault="00723DD2">
      <w:pPr>
        <w:pStyle w:val="Index1"/>
        <w:tabs>
          <w:tab w:val="right" w:leader="dot" w:pos="4455"/>
        </w:tabs>
        <w:rPr>
          <w:noProof/>
        </w:rPr>
      </w:pPr>
      <w:r>
        <w:rPr>
          <w:noProof/>
        </w:rPr>
        <w:t>Datum emise, 2</w:t>
      </w:r>
    </w:p>
    <w:p w:rsidR="00723DD2" w:rsidRDefault="00723DD2">
      <w:pPr>
        <w:pStyle w:val="Index1"/>
        <w:tabs>
          <w:tab w:val="right" w:leader="dot" w:pos="4455"/>
        </w:tabs>
        <w:rPr>
          <w:noProof/>
        </w:rPr>
      </w:pPr>
      <w:r>
        <w:rPr>
          <w:noProof/>
        </w:rPr>
        <w:t>Datum předčasné splatnosti, 6</w:t>
      </w:r>
    </w:p>
    <w:p w:rsidR="00723DD2" w:rsidRDefault="00723DD2">
      <w:pPr>
        <w:pStyle w:val="Index1"/>
        <w:tabs>
          <w:tab w:val="right" w:leader="dot" w:pos="4455"/>
        </w:tabs>
        <w:rPr>
          <w:noProof/>
        </w:rPr>
      </w:pPr>
      <w:r>
        <w:rPr>
          <w:noProof/>
        </w:rPr>
        <w:t>Den konečné splatnosti, 2</w:t>
      </w:r>
    </w:p>
    <w:p w:rsidR="00723DD2" w:rsidRDefault="00723DD2">
      <w:pPr>
        <w:pStyle w:val="Index1"/>
        <w:tabs>
          <w:tab w:val="right" w:leader="dot" w:pos="4455"/>
        </w:tabs>
        <w:rPr>
          <w:noProof/>
        </w:rPr>
      </w:pPr>
      <w:r>
        <w:rPr>
          <w:noProof/>
        </w:rPr>
        <w:t>Den předčasné splatnosti, 12</w:t>
      </w:r>
    </w:p>
    <w:p w:rsidR="00723DD2" w:rsidRDefault="00723DD2">
      <w:pPr>
        <w:pStyle w:val="Index1"/>
        <w:tabs>
          <w:tab w:val="right" w:leader="dot" w:pos="4455"/>
        </w:tabs>
        <w:rPr>
          <w:noProof/>
        </w:rPr>
      </w:pPr>
      <w:r>
        <w:rPr>
          <w:noProof/>
        </w:rPr>
        <w:t>Den výplaty, 7</w:t>
      </w:r>
    </w:p>
    <w:p w:rsidR="00723DD2" w:rsidRDefault="00723DD2">
      <w:pPr>
        <w:pStyle w:val="Index1"/>
        <w:tabs>
          <w:tab w:val="right" w:leader="dot" w:pos="4455"/>
        </w:tabs>
        <w:rPr>
          <w:noProof/>
        </w:rPr>
      </w:pPr>
      <w:r>
        <w:rPr>
          <w:noProof/>
        </w:rPr>
        <w:t>Den výplaty úroků, 6</w:t>
      </w:r>
    </w:p>
    <w:p w:rsidR="00723DD2" w:rsidRDefault="00723DD2">
      <w:pPr>
        <w:pStyle w:val="Index1"/>
        <w:tabs>
          <w:tab w:val="right" w:leader="dot" w:pos="4455"/>
        </w:tabs>
        <w:rPr>
          <w:noProof/>
        </w:rPr>
      </w:pPr>
      <w:r>
        <w:rPr>
          <w:noProof/>
        </w:rPr>
        <w:t>Emise, 2</w:t>
      </w:r>
    </w:p>
    <w:p w:rsidR="00723DD2" w:rsidRDefault="00723DD2">
      <w:pPr>
        <w:pStyle w:val="Index1"/>
        <w:tabs>
          <w:tab w:val="right" w:leader="dot" w:pos="4455"/>
        </w:tabs>
        <w:rPr>
          <w:noProof/>
        </w:rPr>
      </w:pPr>
      <w:r>
        <w:rPr>
          <w:noProof/>
        </w:rPr>
        <w:t>Emisní kurz, 3</w:t>
      </w:r>
    </w:p>
    <w:p w:rsidR="00723DD2" w:rsidRDefault="00723DD2">
      <w:pPr>
        <w:pStyle w:val="Index1"/>
        <w:tabs>
          <w:tab w:val="right" w:leader="dot" w:pos="4455"/>
        </w:tabs>
        <w:rPr>
          <w:noProof/>
        </w:rPr>
      </w:pPr>
      <w:r>
        <w:rPr>
          <w:noProof/>
        </w:rPr>
        <w:t>Emisní podmínky, 2</w:t>
      </w:r>
    </w:p>
    <w:p w:rsidR="00723DD2" w:rsidRDefault="00723DD2">
      <w:pPr>
        <w:pStyle w:val="Index1"/>
        <w:tabs>
          <w:tab w:val="right" w:leader="dot" w:pos="4455"/>
        </w:tabs>
        <w:rPr>
          <w:noProof/>
        </w:rPr>
      </w:pPr>
      <w:r>
        <w:rPr>
          <w:noProof/>
        </w:rPr>
        <w:t>Emitent, 2</w:t>
      </w:r>
    </w:p>
    <w:p w:rsidR="00723DD2" w:rsidRDefault="00723DD2">
      <w:pPr>
        <w:pStyle w:val="Index1"/>
        <w:tabs>
          <w:tab w:val="right" w:leader="dot" w:pos="4455"/>
        </w:tabs>
        <w:rPr>
          <w:noProof/>
        </w:rPr>
      </w:pPr>
      <w:r>
        <w:rPr>
          <w:noProof/>
        </w:rPr>
        <w:t>eur, 15</w:t>
      </w:r>
    </w:p>
    <w:p w:rsidR="00723DD2" w:rsidRDefault="00723DD2">
      <w:pPr>
        <w:pStyle w:val="Index1"/>
        <w:tabs>
          <w:tab w:val="right" w:leader="dot" w:pos="4455"/>
        </w:tabs>
        <w:rPr>
          <w:noProof/>
        </w:rPr>
      </w:pPr>
      <w:r w:rsidRPr="00BB2AD6">
        <w:rPr>
          <w:rFonts w:eastAsia="Calibri"/>
          <w:noProof/>
        </w:rPr>
        <w:t>Insolvenční zákon</w:t>
      </w:r>
      <w:r>
        <w:rPr>
          <w:noProof/>
        </w:rPr>
        <w:t>, 4</w:t>
      </w:r>
    </w:p>
    <w:p w:rsidR="00723DD2" w:rsidRDefault="00723DD2">
      <w:pPr>
        <w:pStyle w:val="Index1"/>
        <w:tabs>
          <w:tab w:val="right" w:leader="dot" w:pos="4455"/>
        </w:tabs>
        <w:rPr>
          <w:noProof/>
        </w:rPr>
      </w:pPr>
      <w:r>
        <w:rPr>
          <w:noProof/>
        </w:rPr>
        <w:t>Instrukce, 8</w:t>
      </w:r>
    </w:p>
    <w:p w:rsidR="00723DD2" w:rsidRDefault="00723DD2">
      <w:pPr>
        <w:pStyle w:val="Index1"/>
        <w:tabs>
          <w:tab w:val="right" w:leader="dot" w:pos="4455"/>
        </w:tabs>
        <w:rPr>
          <w:noProof/>
        </w:rPr>
      </w:pPr>
      <w:r>
        <w:rPr>
          <w:noProof/>
        </w:rPr>
        <w:t>Kč, 15</w:t>
      </w:r>
    </w:p>
    <w:p w:rsidR="00723DD2" w:rsidRDefault="00723DD2">
      <w:pPr>
        <w:pStyle w:val="Index1"/>
        <w:tabs>
          <w:tab w:val="right" w:leader="dot" w:pos="4455"/>
        </w:tabs>
        <w:rPr>
          <w:noProof/>
        </w:rPr>
      </w:pPr>
      <w:r>
        <w:rPr>
          <w:noProof/>
        </w:rPr>
        <w:t>koruna česká, 15</w:t>
      </w:r>
    </w:p>
    <w:p w:rsidR="00723DD2" w:rsidRDefault="00723DD2">
      <w:pPr>
        <w:pStyle w:val="Index1"/>
        <w:tabs>
          <w:tab w:val="right" w:leader="dot" w:pos="4455"/>
        </w:tabs>
        <w:rPr>
          <w:noProof/>
        </w:rPr>
      </w:pPr>
      <w:r w:rsidRPr="00BB2AD6">
        <w:rPr>
          <w:rFonts w:eastAsia="Calibri"/>
          <w:noProof/>
        </w:rPr>
        <w:t>Krycí portfolio</w:t>
      </w:r>
      <w:r>
        <w:rPr>
          <w:noProof/>
        </w:rPr>
        <w:t>, 5</w:t>
      </w:r>
    </w:p>
    <w:p w:rsidR="00723DD2" w:rsidRDefault="00723DD2">
      <w:pPr>
        <w:pStyle w:val="Index1"/>
        <w:tabs>
          <w:tab w:val="right" w:leader="dot" w:pos="4455"/>
        </w:tabs>
        <w:rPr>
          <w:noProof/>
        </w:rPr>
      </w:pPr>
      <w:r>
        <w:rPr>
          <w:noProof/>
        </w:rPr>
        <w:t>Kryté dluhopisy, 2</w:t>
      </w:r>
    </w:p>
    <w:p w:rsidR="00723DD2" w:rsidRDefault="00723DD2">
      <w:pPr>
        <w:pStyle w:val="Index1"/>
        <w:tabs>
          <w:tab w:val="right" w:leader="dot" w:pos="4455"/>
        </w:tabs>
        <w:rPr>
          <w:noProof/>
        </w:rPr>
      </w:pPr>
      <w:r w:rsidRPr="00BB2AD6">
        <w:rPr>
          <w:rFonts w:eastAsia="Calibri"/>
          <w:noProof/>
        </w:rPr>
        <w:t>Kvalifikovaní investoři</w:t>
      </w:r>
      <w:r>
        <w:rPr>
          <w:noProof/>
        </w:rPr>
        <w:t>, 3</w:t>
      </w:r>
    </w:p>
    <w:p w:rsidR="00723DD2" w:rsidRDefault="00723DD2">
      <w:pPr>
        <w:pStyle w:val="Index1"/>
        <w:tabs>
          <w:tab w:val="right" w:leader="dot" w:pos="4455"/>
        </w:tabs>
        <w:rPr>
          <w:noProof/>
        </w:rPr>
      </w:pPr>
      <w:r>
        <w:rPr>
          <w:noProof/>
        </w:rPr>
        <w:t>Kvalifikovanou většinou, 15</w:t>
      </w:r>
    </w:p>
    <w:p w:rsidR="00723DD2" w:rsidRDefault="00723DD2">
      <w:pPr>
        <w:pStyle w:val="Index1"/>
        <w:tabs>
          <w:tab w:val="right" w:leader="dot" w:pos="4455"/>
        </w:tabs>
        <w:rPr>
          <w:noProof/>
        </w:rPr>
      </w:pPr>
      <w:r>
        <w:rPr>
          <w:noProof/>
        </w:rPr>
        <w:t>Nařízení o prospektu, 15</w:t>
      </w:r>
    </w:p>
    <w:p w:rsidR="00723DD2" w:rsidRDefault="00723DD2">
      <w:pPr>
        <w:pStyle w:val="Index1"/>
        <w:tabs>
          <w:tab w:val="right" w:leader="dot" w:pos="4455"/>
        </w:tabs>
        <w:rPr>
          <w:noProof/>
        </w:rPr>
      </w:pPr>
      <w:r>
        <w:rPr>
          <w:noProof/>
        </w:rPr>
        <w:t>Nepodřízené nepreferenční pohledávky, 5</w:t>
      </w:r>
    </w:p>
    <w:p w:rsidR="00723DD2" w:rsidRDefault="00723DD2">
      <w:pPr>
        <w:pStyle w:val="Index1"/>
        <w:tabs>
          <w:tab w:val="right" w:leader="dot" w:pos="4455"/>
        </w:tabs>
        <w:rPr>
          <w:noProof/>
        </w:rPr>
      </w:pPr>
      <w:r>
        <w:rPr>
          <w:noProof/>
        </w:rPr>
        <w:t>Nepodřízené preferenční pohledávky, 5</w:t>
      </w:r>
    </w:p>
    <w:p w:rsidR="00723DD2" w:rsidRDefault="00723DD2">
      <w:pPr>
        <w:pStyle w:val="Index1"/>
        <w:tabs>
          <w:tab w:val="right" w:leader="dot" w:pos="4455"/>
        </w:tabs>
        <w:rPr>
          <w:noProof/>
        </w:rPr>
      </w:pPr>
      <w:r>
        <w:rPr>
          <w:noProof/>
        </w:rPr>
        <w:t>Oprávněné osoby, 8</w:t>
      </w:r>
    </w:p>
    <w:p w:rsidR="00723DD2" w:rsidRDefault="00723DD2">
      <w:pPr>
        <w:pStyle w:val="Index1"/>
        <w:tabs>
          <w:tab w:val="right" w:leader="dot" w:pos="4455"/>
        </w:tabs>
        <w:rPr>
          <w:noProof/>
        </w:rPr>
      </w:pPr>
      <w:r>
        <w:rPr>
          <w:noProof/>
        </w:rPr>
        <w:t>Osoba oprávněná k účasti na schůzi, 11</w:t>
      </w:r>
    </w:p>
    <w:p w:rsidR="00723DD2" w:rsidRDefault="00723DD2">
      <w:pPr>
        <w:pStyle w:val="Index1"/>
        <w:tabs>
          <w:tab w:val="right" w:leader="dot" w:pos="4455"/>
        </w:tabs>
        <w:rPr>
          <w:noProof/>
        </w:rPr>
      </w:pPr>
      <w:r>
        <w:rPr>
          <w:noProof/>
        </w:rPr>
        <w:t>Podřízené pohledávky, 5</w:t>
      </w:r>
    </w:p>
    <w:p w:rsidR="00723DD2" w:rsidRDefault="00723DD2">
      <w:pPr>
        <w:pStyle w:val="Index1"/>
        <w:tabs>
          <w:tab w:val="right" w:leader="dot" w:pos="4455"/>
        </w:tabs>
        <w:rPr>
          <w:noProof/>
        </w:rPr>
      </w:pPr>
      <w:r w:rsidRPr="00BB2AD6">
        <w:rPr>
          <w:rFonts w:eastAsia="Calibri"/>
          <w:noProof/>
        </w:rPr>
        <w:t>Pohledávky z krytých dluhopisů</w:t>
      </w:r>
      <w:r>
        <w:rPr>
          <w:noProof/>
        </w:rPr>
        <w:t>, 4</w:t>
      </w:r>
    </w:p>
    <w:p w:rsidR="00723DD2" w:rsidRDefault="00723DD2">
      <w:pPr>
        <w:pStyle w:val="Index1"/>
        <w:tabs>
          <w:tab w:val="right" w:leader="dot" w:pos="4455"/>
        </w:tabs>
        <w:rPr>
          <w:noProof/>
        </w:rPr>
      </w:pPr>
      <w:r>
        <w:rPr>
          <w:noProof/>
        </w:rPr>
        <w:t>Pracovní den, 15</w:t>
      </w:r>
    </w:p>
    <w:p w:rsidR="00723DD2" w:rsidRDefault="00723DD2">
      <w:pPr>
        <w:pStyle w:val="Index1"/>
        <w:tabs>
          <w:tab w:val="right" w:leader="dot" w:pos="4455"/>
        </w:tabs>
        <w:rPr>
          <w:noProof/>
        </w:rPr>
      </w:pPr>
      <w:r>
        <w:rPr>
          <w:noProof/>
        </w:rPr>
        <w:t>Přednostní pohledávky, 5</w:t>
      </w:r>
    </w:p>
    <w:p w:rsidR="00723DD2" w:rsidRDefault="00723DD2">
      <w:pPr>
        <w:pStyle w:val="Index1"/>
        <w:tabs>
          <w:tab w:val="right" w:leader="dot" w:pos="4455"/>
        </w:tabs>
        <w:rPr>
          <w:noProof/>
        </w:rPr>
      </w:pPr>
      <w:r>
        <w:rPr>
          <w:noProof/>
        </w:rPr>
        <w:t>Rozhodný den pro účast na schůzi, 11, 15</w:t>
      </w:r>
    </w:p>
    <w:p w:rsidR="00723DD2" w:rsidRDefault="00723DD2">
      <w:pPr>
        <w:pStyle w:val="Index1"/>
        <w:tabs>
          <w:tab w:val="right" w:leader="dot" w:pos="4455"/>
        </w:tabs>
        <w:rPr>
          <w:noProof/>
        </w:rPr>
      </w:pPr>
      <w:r>
        <w:rPr>
          <w:noProof/>
        </w:rPr>
        <w:t>Rozhodný den pro výplatu, 15</w:t>
      </w:r>
    </w:p>
    <w:p w:rsidR="00723DD2" w:rsidRDefault="00723DD2">
      <w:pPr>
        <w:pStyle w:val="Index1"/>
        <w:tabs>
          <w:tab w:val="right" w:leader="dot" w:pos="4455"/>
        </w:tabs>
        <w:rPr>
          <w:noProof/>
        </w:rPr>
      </w:pPr>
      <w:r>
        <w:rPr>
          <w:noProof/>
        </w:rPr>
        <w:t>Schůze, 10</w:t>
      </w:r>
    </w:p>
    <w:p w:rsidR="00723DD2" w:rsidRDefault="00723DD2">
      <w:pPr>
        <w:pStyle w:val="Index1"/>
        <w:tabs>
          <w:tab w:val="right" w:leader="dot" w:pos="4455"/>
        </w:tabs>
        <w:rPr>
          <w:noProof/>
        </w:rPr>
      </w:pPr>
      <w:r>
        <w:rPr>
          <w:noProof/>
        </w:rPr>
        <w:t>Úroková sazba, 5</w:t>
      </w:r>
    </w:p>
    <w:p w:rsidR="00723DD2" w:rsidRDefault="00723DD2">
      <w:pPr>
        <w:pStyle w:val="Index1"/>
        <w:tabs>
          <w:tab w:val="right" w:leader="dot" w:pos="4455"/>
        </w:tabs>
        <w:rPr>
          <w:noProof/>
        </w:rPr>
      </w:pPr>
      <w:r>
        <w:rPr>
          <w:noProof/>
        </w:rPr>
        <w:t>Vlastník dluhopisů, 2</w:t>
      </w:r>
    </w:p>
    <w:p w:rsidR="00723DD2" w:rsidRDefault="00723DD2">
      <w:pPr>
        <w:pStyle w:val="Index1"/>
        <w:tabs>
          <w:tab w:val="right" w:leader="dot" w:pos="4455"/>
        </w:tabs>
        <w:rPr>
          <w:noProof/>
        </w:rPr>
      </w:pPr>
      <w:r>
        <w:rPr>
          <w:noProof/>
        </w:rPr>
        <w:t>Výnosové období, 15</w:t>
      </w:r>
    </w:p>
    <w:p w:rsidR="00723DD2" w:rsidRDefault="00723DD2">
      <w:pPr>
        <w:pStyle w:val="Index1"/>
        <w:tabs>
          <w:tab w:val="right" w:leader="dot" w:pos="4455"/>
        </w:tabs>
        <w:rPr>
          <w:noProof/>
        </w:rPr>
      </w:pPr>
      <w:r>
        <w:rPr>
          <w:noProof/>
        </w:rPr>
        <w:t>Zákon o dluhopisech, 2</w:t>
      </w:r>
    </w:p>
    <w:p w:rsidR="00723DD2" w:rsidRDefault="00723DD2">
      <w:pPr>
        <w:pStyle w:val="Index1"/>
        <w:tabs>
          <w:tab w:val="right" w:leader="dot" w:pos="4455"/>
        </w:tabs>
        <w:rPr>
          <w:noProof/>
        </w:rPr>
      </w:pPr>
      <w:r w:rsidRPr="00BB2AD6">
        <w:rPr>
          <w:rFonts w:eastAsia="Calibri"/>
          <w:noProof/>
        </w:rPr>
        <w:t>Zákonný 85 % limit</w:t>
      </w:r>
      <w:r>
        <w:rPr>
          <w:noProof/>
        </w:rPr>
        <w:t>, 4</w:t>
      </w:r>
    </w:p>
    <w:p w:rsidR="00723DD2" w:rsidRDefault="00723DD2">
      <w:pPr>
        <w:pStyle w:val="Index1"/>
        <w:tabs>
          <w:tab w:val="right" w:leader="dot" w:pos="4455"/>
        </w:tabs>
        <w:rPr>
          <w:noProof/>
        </w:rPr>
      </w:pPr>
      <w:r w:rsidRPr="00BB2AD6">
        <w:rPr>
          <w:rFonts w:eastAsia="Calibri"/>
          <w:noProof/>
        </w:rPr>
        <w:t>Zákonný limit přezajištění</w:t>
      </w:r>
      <w:r>
        <w:rPr>
          <w:noProof/>
        </w:rPr>
        <w:t>, 4</w:t>
      </w:r>
    </w:p>
    <w:p w:rsidR="00723DD2" w:rsidRDefault="00723DD2">
      <w:pPr>
        <w:pStyle w:val="Index1"/>
        <w:tabs>
          <w:tab w:val="right" w:leader="dot" w:pos="4455"/>
        </w:tabs>
        <w:rPr>
          <w:noProof/>
        </w:rPr>
      </w:pPr>
      <w:r w:rsidRPr="00BB2AD6">
        <w:rPr>
          <w:rFonts w:eastAsia="Calibri"/>
          <w:noProof/>
        </w:rPr>
        <w:t>Zbylé pohledávky z krytých dluhopisů</w:t>
      </w:r>
      <w:r>
        <w:rPr>
          <w:noProof/>
        </w:rPr>
        <w:t>, 4</w:t>
      </w:r>
    </w:p>
    <w:p w:rsidR="00723DD2" w:rsidRDefault="00723DD2">
      <w:pPr>
        <w:pStyle w:val="Index1"/>
        <w:tabs>
          <w:tab w:val="right" w:leader="dot" w:pos="4455"/>
        </w:tabs>
        <w:rPr>
          <w:noProof/>
        </w:rPr>
      </w:pPr>
      <w:r>
        <w:rPr>
          <w:noProof/>
        </w:rPr>
        <w:t>Změna emisních podmínek, 10</w:t>
      </w:r>
    </w:p>
    <w:p w:rsidR="00723DD2" w:rsidRDefault="00723DD2">
      <w:pPr>
        <w:pStyle w:val="Index1"/>
        <w:tabs>
          <w:tab w:val="right" w:leader="dot" w:pos="4455"/>
        </w:tabs>
        <w:rPr>
          <w:noProof/>
        </w:rPr>
      </w:pPr>
      <w:r>
        <w:rPr>
          <w:noProof/>
        </w:rPr>
        <w:t>Změna zásadní povahy, 10</w:t>
      </w:r>
    </w:p>
    <w:p w:rsidR="00723DD2" w:rsidRDefault="00723DD2">
      <w:pPr>
        <w:pStyle w:val="Index1"/>
        <w:tabs>
          <w:tab w:val="right" w:leader="dot" w:pos="4455"/>
        </w:tabs>
        <w:rPr>
          <w:noProof/>
        </w:rPr>
      </w:pPr>
      <w:r>
        <w:rPr>
          <w:noProof/>
        </w:rPr>
        <w:t>Žadatel, 12</w:t>
      </w:r>
    </w:p>
    <w:p w:rsidR="00723DD2" w:rsidRDefault="00723DD2">
      <w:pPr>
        <w:pStyle w:val="Index1"/>
        <w:tabs>
          <w:tab w:val="right" w:leader="dot" w:pos="4455"/>
        </w:tabs>
        <w:rPr>
          <w:noProof/>
        </w:rPr>
      </w:pPr>
      <w:r>
        <w:rPr>
          <w:noProof/>
        </w:rPr>
        <w:t>Žádost, 12</w:t>
      </w:r>
    </w:p>
    <w:p w:rsidR="00723DD2" w:rsidRDefault="00723DD2" w:rsidP="00B90CA0">
      <w:pPr>
        <w:numPr>
          <w:ilvl w:val="0"/>
          <w:numId w:val="21"/>
        </w:numPr>
        <w:spacing w:before="240" w:line="260" w:lineRule="atLeast"/>
        <w:jc w:val="both"/>
        <w:rPr>
          <w:b/>
          <w:noProof/>
        </w:rPr>
        <w:sectPr w:rsidR="00723DD2" w:rsidSect="00723DD2">
          <w:type w:val="continuous"/>
          <w:pgSz w:w="11906" w:h="16838" w:code="9"/>
          <w:pgMar w:top="1588" w:right="1134" w:bottom="1021" w:left="1134" w:header="851" w:footer="454" w:gutter="0"/>
          <w:cols w:num="2" w:space="708"/>
          <w:docGrid w:linePitch="360"/>
        </w:sectPr>
      </w:pPr>
    </w:p>
    <w:p w:rsidR="00B90CA0" w:rsidRDefault="00B90CA0" w:rsidP="00723DD2">
      <w:pPr>
        <w:numPr>
          <w:ilvl w:val="0"/>
          <w:numId w:val="21"/>
        </w:numPr>
        <w:spacing w:before="240" w:line="260" w:lineRule="atLeast"/>
        <w:jc w:val="both"/>
      </w:pPr>
      <w:r w:rsidRPr="005025CD">
        <w:fldChar w:fldCharType="end"/>
      </w:r>
    </w:p>
    <w:sectPr w:rsidR="00B90CA0" w:rsidSect="000865B8">
      <w:type w:val="continuous"/>
      <w:pgSz w:w="11906" w:h="16838" w:code="9"/>
      <w:pgMar w:top="1588" w:right="1134" w:bottom="1021" w:left="1134"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CA0" w:rsidRPr="00920631" w:rsidRDefault="00B90CA0" w:rsidP="001E7139">
      <w:r w:rsidRPr="00920631">
        <w:separator/>
      </w:r>
    </w:p>
  </w:endnote>
  <w:endnote w:type="continuationSeparator" w:id="0">
    <w:p w:rsidR="00B90CA0" w:rsidRPr="00920631" w:rsidRDefault="00B90CA0" w:rsidP="001E7139">
      <w:r w:rsidRPr="009206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015TE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CA0" w:rsidRDefault="00B90CA0">
    <w:pPr>
      <w:pStyle w:val="Footer"/>
    </w:pPr>
  </w:p>
  <w:p w:rsidR="00B90CA0" w:rsidRDefault="00B90CA0"/>
  <w:tbl>
    <w:tblPr>
      <w:tblStyle w:val="AOHdrFtrTblStyle"/>
      <w:tblW w:w="5000" w:type="pct"/>
      <w:tblLayout w:type="fixed"/>
      <w:tblLook w:val="04A0" w:firstRow="1" w:lastRow="0" w:firstColumn="1" w:lastColumn="0" w:noHBand="0" w:noVBand="1"/>
    </w:tblPr>
    <w:tblGrid>
      <w:gridCol w:w="3210"/>
      <w:gridCol w:w="3213"/>
      <w:gridCol w:w="3215"/>
    </w:tblGrid>
    <w:tr w:rsidR="00B90CA0" w:rsidRPr="00920631" w:rsidTr="00815059">
      <w:tc>
        <w:tcPr>
          <w:tcW w:w="5000" w:type="pct"/>
          <w:gridSpan w:val="3"/>
        </w:tcPr>
        <w:p w:rsidR="00B90CA0" w:rsidRPr="00920631" w:rsidRDefault="00B90CA0" w:rsidP="007D75EC">
          <w:pPr>
            <w:pStyle w:val="AONormal8LBold"/>
          </w:pPr>
          <w:r w:rsidRPr="00920631">
            <w:fldChar w:fldCharType="begin"/>
          </w:r>
          <w:r w:rsidRPr="00920631">
            <w:instrText xml:space="preserve"> DOCPROPERTY cpFooterText </w:instrText>
          </w:r>
          <w:r w:rsidRPr="00920631">
            <w:fldChar w:fldCharType="end"/>
          </w:r>
        </w:p>
      </w:tc>
    </w:tr>
    <w:tr w:rsidR="00B90CA0" w:rsidRPr="00920631" w:rsidTr="00815059">
      <w:tc>
        <w:tcPr>
          <w:tcW w:w="1665" w:type="pct"/>
        </w:tcPr>
        <w:p w:rsidR="00B90CA0" w:rsidRPr="00920631" w:rsidRDefault="00B90CA0" w:rsidP="007D75EC">
          <w:pPr>
            <w:pStyle w:val="AONormal8L"/>
          </w:pPr>
          <w:r>
            <w:fldChar w:fldCharType="begin"/>
          </w:r>
          <w:r>
            <w:instrText xml:space="preserve"> DOCPROPERTY cpCombinedRef </w:instrText>
          </w:r>
          <w:r>
            <w:fldChar w:fldCharType="separate"/>
          </w:r>
          <w:r w:rsidR="000865B8">
            <w:t>0106253-0000012 EUO1: 2001392478.1</w:t>
          </w:r>
          <w:r>
            <w:fldChar w:fldCharType="end"/>
          </w:r>
        </w:p>
      </w:tc>
      <w:tc>
        <w:tcPr>
          <w:tcW w:w="1667" w:type="pct"/>
        </w:tcPr>
        <w:p w:rsidR="00B90CA0" w:rsidRPr="00920631" w:rsidRDefault="00B90CA0" w:rsidP="007D75EC">
          <w:pPr>
            <w:pStyle w:val="AONormal8C"/>
          </w:pPr>
          <w:r w:rsidRPr="00920631">
            <w:fldChar w:fldCharType="begin"/>
          </w:r>
          <w:r w:rsidRPr="00920631">
            <w:instrText xml:space="preserve"> PAGE</w:instrText>
          </w:r>
          <w:r>
            <w:instrText xml:space="preserve"> </w:instrText>
          </w:r>
          <w:r w:rsidRPr="00920631">
            <w:fldChar w:fldCharType="separate"/>
          </w:r>
          <w:r w:rsidR="000865B8">
            <w:rPr>
              <w:noProof/>
            </w:rPr>
            <w:t>16</w:t>
          </w:r>
          <w:r w:rsidRPr="00920631">
            <w:fldChar w:fldCharType="end"/>
          </w:r>
        </w:p>
      </w:tc>
      <w:tc>
        <w:tcPr>
          <w:tcW w:w="1667" w:type="pct"/>
        </w:tcPr>
        <w:p w:rsidR="00B90CA0" w:rsidRPr="00920631" w:rsidRDefault="00B90CA0" w:rsidP="007D75EC">
          <w:pPr>
            <w:pStyle w:val="AONormal8R"/>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ayout w:type="fixed"/>
      <w:tblLook w:val="04A0" w:firstRow="1" w:lastRow="0" w:firstColumn="1" w:lastColumn="0" w:noHBand="0" w:noVBand="1"/>
    </w:tblPr>
    <w:tblGrid>
      <w:gridCol w:w="3210"/>
      <w:gridCol w:w="3213"/>
      <w:gridCol w:w="3215"/>
    </w:tblGrid>
    <w:tr w:rsidR="00B90CA0" w:rsidRPr="00920631" w:rsidTr="00815059">
      <w:tc>
        <w:tcPr>
          <w:tcW w:w="5000" w:type="pct"/>
          <w:gridSpan w:val="3"/>
        </w:tcPr>
        <w:bookmarkStart w:id="412" w:name="bmkFooterPrimaryDoc"/>
        <w:p w:rsidR="00B90CA0" w:rsidRPr="00920631" w:rsidRDefault="00B90CA0" w:rsidP="007D75EC">
          <w:pPr>
            <w:pStyle w:val="AONormal8LBold"/>
          </w:pPr>
          <w:r w:rsidRPr="00920631">
            <w:fldChar w:fldCharType="begin"/>
          </w:r>
          <w:r w:rsidRPr="00920631">
            <w:instrText xml:space="preserve"> DOCPROPERTY cpFooterText </w:instrText>
          </w:r>
          <w:r w:rsidRPr="00920631">
            <w:fldChar w:fldCharType="end"/>
          </w:r>
        </w:p>
      </w:tc>
    </w:tr>
    <w:tr w:rsidR="00B90CA0" w:rsidRPr="00920631" w:rsidTr="00815059">
      <w:tc>
        <w:tcPr>
          <w:tcW w:w="1665" w:type="pct"/>
        </w:tcPr>
        <w:p w:rsidR="00B90CA0" w:rsidRPr="00920631" w:rsidRDefault="00B90CA0" w:rsidP="007D75EC">
          <w:pPr>
            <w:pStyle w:val="AONormal8L"/>
          </w:pPr>
          <w:r>
            <w:fldChar w:fldCharType="begin"/>
          </w:r>
          <w:r>
            <w:instrText xml:space="preserve"> DOCPROPERTY cpCombinedRef </w:instrText>
          </w:r>
          <w:r>
            <w:fldChar w:fldCharType="separate"/>
          </w:r>
          <w:r w:rsidR="00723DD2">
            <w:t>0106253-0000012 EUO1: 2001392478.1</w:t>
          </w:r>
          <w:r>
            <w:fldChar w:fldCharType="end"/>
          </w:r>
        </w:p>
      </w:tc>
      <w:tc>
        <w:tcPr>
          <w:tcW w:w="1667" w:type="pct"/>
        </w:tcPr>
        <w:p w:rsidR="00B90CA0" w:rsidRPr="00920631" w:rsidRDefault="00B90CA0" w:rsidP="007D75EC">
          <w:pPr>
            <w:pStyle w:val="AONormal8C"/>
          </w:pPr>
          <w:r w:rsidRPr="00920631">
            <w:fldChar w:fldCharType="begin"/>
          </w:r>
          <w:r w:rsidRPr="00920631">
            <w:instrText xml:space="preserve"> PAGE</w:instrText>
          </w:r>
          <w:r>
            <w:instrText xml:space="preserve"> </w:instrText>
          </w:r>
          <w:r w:rsidRPr="00920631">
            <w:fldChar w:fldCharType="separate"/>
          </w:r>
          <w:r w:rsidR="00DB2373">
            <w:rPr>
              <w:noProof/>
            </w:rPr>
            <w:t>1</w:t>
          </w:r>
          <w:r w:rsidRPr="00920631">
            <w:fldChar w:fldCharType="end"/>
          </w:r>
        </w:p>
      </w:tc>
      <w:tc>
        <w:tcPr>
          <w:tcW w:w="1667" w:type="pct"/>
        </w:tcPr>
        <w:p w:rsidR="00B90CA0" w:rsidRPr="00920631" w:rsidRDefault="00B90CA0" w:rsidP="007D75EC">
          <w:pPr>
            <w:pStyle w:val="AONormal8R"/>
          </w:pPr>
        </w:p>
      </w:tc>
    </w:tr>
    <w:bookmarkEnd w:id="412"/>
  </w:tbl>
  <w:p w:rsidR="00B90CA0" w:rsidRPr="00920631" w:rsidRDefault="00B90CA0" w:rsidP="008C14D4">
    <w:pPr>
      <w:pStyle w:val="AONormal8L"/>
    </w:pPr>
  </w:p>
  <w:p w:rsidR="00B90CA0" w:rsidRDefault="00B90CA0"/>
  <w:tbl>
    <w:tblPr>
      <w:tblStyle w:val="AOHdrFtrTblStyle"/>
      <w:tblW w:w="0" w:type="auto"/>
      <w:tblLook w:val="04A0" w:firstRow="1" w:lastRow="0" w:firstColumn="1" w:lastColumn="0" w:noHBand="0" w:noVBand="1"/>
    </w:tblPr>
    <w:tblGrid>
      <w:gridCol w:w="9638"/>
    </w:tblGrid>
    <w:tr w:rsidR="00B90CA0" w:rsidTr="00815059">
      <w:tc>
        <w:tcPr>
          <w:tcW w:w="9854" w:type="dxa"/>
        </w:tcPr>
        <w:p w:rsidR="00B90CA0" w:rsidRDefault="00B90CA0" w:rsidP="005D5CB3">
          <w:pPr>
            <w:pStyle w:val="AONormal8LBold"/>
          </w:pPr>
          <w:r>
            <w:fldChar w:fldCharType="begin"/>
          </w:r>
          <w:r>
            <w:instrText xml:space="preserve"> DOCPROPERTY  cpHeaderText </w:instrText>
          </w:r>
          <w: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ook w:val="04A0" w:firstRow="1" w:lastRow="0" w:firstColumn="1" w:lastColumn="0" w:noHBand="0" w:noVBand="1"/>
    </w:tblPr>
    <w:tblGrid>
      <w:gridCol w:w="3284"/>
      <w:gridCol w:w="3285"/>
      <w:gridCol w:w="3285"/>
    </w:tblGrid>
    <w:tr w:rsidR="00B90CA0" w:rsidTr="00815059">
      <w:tc>
        <w:tcPr>
          <w:tcW w:w="5000" w:type="pct"/>
          <w:gridSpan w:val="3"/>
        </w:tcPr>
        <w:p w:rsidR="00B90CA0" w:rsidRDefault="00B90CA0" w:rsidP="005D5CB3">
          <w:pPr>
            <w:pStyle w:val="AONormal8LBold"/>
          </w:pPr>
          <w:r>
            <w:fldChar w:fldCharType="begin"/>
          </w:r>
          <w:r>
            <w:instrText xml:space="preserve"> DOCPROPERTY  cpFooterText </w:instrText>
          </w:r>
          <w:r>
            <w:fldChar w:fldCharType="end"/>
          </w:r>
        </w:p>
      </w:tc>
    </w:tr>
    <w:tr w:rsidR="00B90CA0" w:rsidTr="00815059">
      <w:tc>
        <w:tcPr>
          <w:tcW w:w="1666" w:type="pct"/>
        </w:tcPr>
        <w:p w:rsidR="00B90CA0" w:rsidRDefault="00B90CA0" w:rsidP="005D5CB3">
          <w:pPr>
            <w:pStyle w:val="AONormal8L"/>
          </w:pPr>
          <w:r>
            <w:fldChar w:fldCharType="begin"/>
          </w:r>
          <w:r>
            <w:instrText xml:space="preserve"> DOCPROPERTY  cpCombinedRef </w:instrText>
          </w:r>
          <w:r>
            <w:fldChar w:fldCharType="separate"/>
          </w:r>
          <w:r w:rsidR="000865B8">
            <w:t>0106253-0000012 EUO1: 2001392478.1</w:t>
          </w:r>
          <w:r>
            <w:fldChar w:fldCharType="end"/>
          </w:r>
        </w:p>
      </w:tc>
      <w:tc>
        <w:tcPr>
          <w:tcW w:w="1667" w:type="pct"/>
        </w:tcPr>
        <w:p w:rsidR="00B90CA0" w:rsidRDefault="00B90CA0" w:rsidP="005D5CB3">
          <w:pPr>
            <w:pStyle w:val="AONormal8C"/>
          </w:pPr>
          <w:r>
            <w:fldChar w:fldCharType="begin"/>
          </w:r>
          <w:r>
            <w:instrText xml:space="preserve"> PAGE  \* Arabic  \* MERGEFORMAT </w:instrText>
          </w:r>
          <w:r>
            <w:fldChar w:fldCharType="separate"/>
          </w:r>
          <w:r w:rsidR="000865B8">
            <w:rPr>
              <w:noProof/>
            </w:rPr>
            <w:t>16</w:t>
          </w:r>
          <w:r>
            <w:fldChar w:fldCharType="end"/>
          </w:r>
        </w:p>
      </w:tc>
      <w:tc>
        <w:tcPr>
          <w:tcW w:w="1667" w:type="pct"/>
        </w:tcPr>
        <w:p w:rsidR="00B90CA0" w:rsidRDefault="00B90CA0" w:rsidP="005D5CB3">
          <w:pPr>
            <w:pStyle w:val="AONormal8R"/>
          </w:pPr>
        </w:p>
      </w:tc>
    </w:tr>
  </w:tbl>
  <w:p w:rsidR="00B90CA0" w:rsidRDefault="00B90CA0">
    <w:pPr>
      <w:pStyle w:val="Footer"/>
    </w:pPr>
  </w:p>
  <w:p w:rsidR="00B90CA0" w:rsidRDefault="00B90CA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CA0" w:rsidRPr="00920631" w:rsidRDefault="00B90CA0" w:rsidP="001E7139">
      <w:r w:rsidRPr="00920631">
        <w:separator/>
      </w:r>
    </w:p>
  </w:footnote>
  <w:footnote w:type="continuationSeparator" w:id="0">
    <w:p w:rsidR="00B90CA0" w:rsidRPr="00920631" w:rsidRDefault="00B90CA0" w:rsidP="001E7139">
      <w:r w:rsidRPr="009206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CA0" w:rsidRDefault="00B90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ayout w:type="fixed"/>
      <w:tblLook w:val="04A0" w:firstRow="1" w:lastRow="0" w:firstColumn="1" w:lastColumn="0" w:noHBand="0" w:noVBand="1"/>
    </w:tblPr>
    <w:tblGrid>
      <w:gridCol w:w="9638"/>
    </w:tblGrid>
    <w:tr w:rsidR="00B90CA0" w:rsidRPr="00920631" w:rsidTr="00815059">
      <w:tc>
        <w:tcPr>
          <w:tcW w:w="5000" w:type="pct"/>
        </w:tcPr>
        <w:p w:rsidR="00B90CA0" w:rsidRPr="00920631" w:rsidRDefault="00B90CA0" w:rsidP="0045533C">
          <w:pPr>
            <w:pStyle w:val="AONormal8LBold"/>
          </w:pPr>
          <w:r>
            <w:fldChar w:fldCharType="begin"/>
          </w:r>
          <w:r>
            <w:instrText xml:space="preserve"> DOCPROPERTY  cpHeaderText </w:instrText>
          </w:r>
          <w:r>
            <w:fldChar w:fldCharType="end"/>
          </w:r>
        </w:p>
      </w:tc>
    </w:tr>
  </w:tbl>
  <w:p w:rsidR="00B90CA0" w:rsidRPr="00920631" w:rsidRDefault="00B90CA0" w:rsidP="00B90CA0">
    <w:pPr>
      <w:pStyle w:val="AONormal8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0" w:type="auto"/>
      <w:tblLook w:val="04A0" w:firstRow="1" w:lastRow="0" w:firstColumn="1" w:lastColumn="0" w:noHBand="0" w:noVBand="1"/>
    </w:tblPr>
    <w:tblGrid>
      <w:gridCol w:w="9854"/>
    </w:tblGrid>
    <w:tr w:rsidR="00B90CA0" w:rsidTr="00815059">
      <w:tc>
        <w:tcPr>
          <w:tcW w:w="9854" w:type="dxa"/>
        </w:tcPr>
        <w:bookmarkStart w:id="413" w:name="bmkHeaderPrimaryDoc"/>
        <w:p w:rsidR="00B90CA0" w:rsidRDefault="00B90CA0" w:rsidP="005D5CB3">
          <w:pPr>
            <w:pStyle w:val="AONormal8LBold"/>
          </w:pPr>
          <w:r>
            <w:fldChar w:fldCharType="begin"/>
          </w:r>
          <w:r>
            <w:instrText xml:space="preserve"> DOCPROPERTY  cpHeaderText </w:instrText>
          </w:r>
          <w:r>
            <w:fldChar w:fldCharType="end"/>
          </w:r>
        </w:p>
      </w:tc>
    </w:tr>
    <w:bookmarkEnd w:id="413"/>
  </w:tbl>
  <w:p w:rsidR="00B90CA0" w:rsidRDefault="00B90CA0" w:rsidP="005D5CB3">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1F2"/>
    <w:multiLevelType w:val="multilevel"/>
    <w:tmpl w:val="F24CD17C"/>
    <w:name w:val="ClientBullet"/>
    <w:lvl w:ilvl="0">
      <w:start w:val="1"/>
      <w:numFmt w:val="bullet"/>
      <w:lvlRestart w:val="0"/>
      <w:pStyle w:val="BulletL1"/>
      <w:lvlText w:val="·"/>
      <w:lvlJc w:val="left"/>
      <w:pPr>
        <w:ind w:left="720" w:hanging="720"/>
      </w:pPr>
      <w:rPr>
        <w:rFonts w:ascii="Symbol" w:hAnsi="Symbol" w:hint="default"/>
      </w:rPr>
    </w:lvl>
    <w:lvl w:ilvl="1">
      <w:start w:val="1"/>
      <w:numFmt w:val="bullet"/>
      <w:lvlRestart w:val="0"/>
      <w:lvlText w:val="-"/>
      <w:lvlJc w:val="left"/>
      <w:pPr>
        <w:ind w:left="720" w:hanging="720"/>
      </w:pPr>
      <w:rPr>
        <w:rFonts w:ascii="Symbol" w:hAnsi="Symbol" w:hint="default"/>
      </w:rPr>
    </w:lvl>
    <w:lvl w:ilvl="2">
      <w:start w:val="1"/>
      <w:numFmt w:val="bullet"/>
      <w:lvlRestart w:val="0"/>
      <w:lvlText w:val="·"/>
      <w:lvlJc w:val="left"/>
      <w:pPr>
        <w:ind w:left="1440" w:hanging="720"/>
      </w:pPr>
      <w:rPr>
        <w:rFonts w:ascii="Symbol" w:hAnsi="Symbol" w:hint="default"/>
      </w:rPr>
    </w:lvl>
    <w:lvl w:ilvl="3">
      <w:start w:val="1"/>
      <w:numFmt w:val="bullet"/>
      <w:lvlRestart w:val="0"/>
      <w:lvlText w:val="-"/>
      <w:lvlJc w:val="left"/>
      <w:pPr>
        <w:ind w:left="1440" w:hanging="720"/>
      </w:pPr>
      <w:rPr>
        <w:rFonts w:ascii="Symbol" w:hAnsi="Symbol" w:hint="default"/>
      </w:rPr>
    </w:lvl>
    <w:lvl w:ilvl="4">
      <w:start w:val="1"/>
      <w:numFmt w:val="bullet"/>
      <w:lvlRestart w:val="0"/>
      <w:lvlText w:val="·"/>
      <w:lvlJc w:val="left"/>
      <w:pPr>
        <w:ind w:left="2160" w:hanging="720"/>
      </w:pPr>
      <w:rPr>
        <w:rFonts w:ascii="Symbol" w:hAnsi="Symbol" w:hint="default"/>
      </w:rPr>
    </w:lvl>
    <w:lvl w:ilvl="5">
      <w:start w:val="1"/>
      <w:numFmt w:val="bullet"/>
      <w:lvlRestart w:val="0"/>
      <w:lvlText w:val="-"/>
      <w:lvlJc w:val="left"/>
      <w:pPr>
        <w:ind w:left="2160" w:hanging="720"/>
      </w:pPr>
      <w:rPr>
        <w:rFonts w:ascii="Symbol" w:hAnsi="Symbol" w:hint="default"/>
      </w:rPr>
    </w:lvl>
    <w:lvl w:ilvl="6">
      <w:start w:val="1"/>
      <w:numFmt w:val="bullet"/>
      <w:lvlRestart w:val="0"/>
      <w:lvlText w:val="·"/>
      <w:lvlJc w:val="left"/>
      <w:pPr>
        <w:ind w:left="2880" w:hanging="720"/>
      </w:pPr>
      <w:rPr>
        <w:rFonts w:ascii="Symbol" w:hAnsi="Symbol" w:hint="default"/>
      </w:rPr>
    </w:lvl>
    <w:lvl w:ilvl="7">
      <w:start w:val="1"/>
      <w:numFmt w:val="bullet"/>
      <w:lvlRestart w:val="0"/>
      <w:lvlText w:val="-"/>
      <w:lvlJc w:val="left"/>
      <w:pPr>
        <w:ind w:left="2880" w:hanging="720"/>
      </w:pPr>
      <w:rPr>
        <w:rFonts w:ascii="Symbol" w:hAnsi="Symbol" w:hint="default"/>
      </w:rPr>
    </w:lvl>
    <w:lvl w:ilvl="8">
      <w:start w:val="1"/>
      <w:numFmt w:val="bullet"/>
      <w:lvlRestart w:val="0"/>
      <w:lvlText w:val="·"/>
      <w:lvlJc w:val="left"/>
      <w:pPr>
        <w:ind w:left="3600" w:hanging="720"/>
      </w:pPr>
      <w:rPr>
        <w:rFonts w:ascii="Symbol" w:hAnsi="Symbol" w:hint="default"/>
      </w:rPr>
    </w:lvl>
  </w:abstractNum>
  <w:abstractNum w:abstractNumId="1" w15:restartNumberingAfterBreak="0">
    <w:nsid w:val="044209E7"/>
    <w:multiLevelType w:val="multilevel"/>
    <w:tmpl w:val="60BCA2BE"/>
    <w:name w:val="AOApp"/>
    <w:lvl w:ilvl="0">
      <w:start w:val="1"/>
      <w:numFmt w:val="decimal"/>
      <w:lvlRestart w:val="0"/>
      <w:pStyle w:val="AOAppHead"/>
      <w:suff w:val="nothing"/>
      <w:lvlText w:val="Příloha %1"/>
      <w:lvlJc w:val="left"/>
      <w:pPr>
        <w:tabs>
          <w:tab w:val="num" w:pos="0"/>
        </w:tabs>
        <w:ind w:left="0" w:firstLine="0"/>
      </w:pPr>
      <w:rPr>
        <w:rFonts w:ascii="Times New Roman Bold" w:hAnsi="Times New Roman Bold"/>
      </w:rPr>
    </w:lvl>
    <w:lvl w:ilvl="1">
      <w:start w:val="1"/>
      <w:numFmt w:val="decimal"/>
      <w:pStyle w:val="AOAppPartHead"/>
      <w:suff w:val="nothing"/>
      <w:lvlText w:val="Čás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E561B10"/>
    <w:multiLevelType w:val="multilevel"/>
    <w:tmpl w:val="80CA2B6A"/>
    <w:name w:val="Bullets"/>
    <w:lvl w:ilvl="0">
      <w:start w:val="1"/>
      <w:numFmt w:val="bullet"/>
      <w:pStyle w:val="Bullet1"/>
      <w:lvlText w:val="-"/>
      <w:lvlJc w:val="left"/>
      <w:pPr>
        <w:ind w:left="432" w:hanging="432"/>
      </w:pPr>
      <w:rPr>
        <w:rFonts w:ascii="Century Gothic" w:hAnsi="Century Gothic" w:hint="default"/>
      </w:rPr>
    </w:lvl>
    <w:lvl w:ilvl="1">
      <w:start w:val="1"/>
      <w:numFmt w:val="bullet"/>
      <w:pStyle w:val="Bullet2"/>
      <w:lvlText w:val="o"/>
      <w:lvlJc w:val="left"/>
      <w:pPr>
        <w:ind w:left="864" w:hanging="432"/>
      </w:pPr>
      <w:rPr>
        <w:rFonts w:ascii="Courier New" w:hAnsi="Courier New"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0F37ADE"/>
    <w:multiLevelType w:val="multilevel"/>
    <w:tmpl w:val="9FC2486A"/>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15:restartNumberingAfterBreak="0">
    <w:nsid w:val="18A06D2B"/>
    <w:multiLevelType w:val="multilevel"/>
    <w:tmpl w:val="A0823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C37DA4"/>
    <w:multiLevelType w:val="multilevel"/>
    <w:tmpl w:val="12CA19D2"/>
    <w:name w:val="Levels"/>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rPr>
    </w:lvl>
    <w:lvl w:ilvl="2">
      <w:start w:val="1"/>
      <w:numFmt w:val="decimal"/>
      <w:pStyle w:val="Level3"/>
      <w:lvlText w:val="%1.%2.%3"/>
      <w:lvlJc w:val="left"/>
      <w:pPr>
        <w:ind w:left="720" w:hanging="720"/>
      </w:pPr>
      <w:rPr>
        <w:rFonts w:hint="default"/>
      </w:rPr>
    </w:lvl>
    <w:lvl w:ilvl="3">
      <w:start w:val="1"/>
      <w:numFmt w:val="lowerLetter"/>
      <w:pStyle w:val="Level4"/>
      <w:lvlText w:val="(%4)"/>
      <w:lvlJc w:val="left"/>
      <w:pPr>
        <w:ind w:left="720" w:hanging="720"/>
      </w:pPr>
      <w:rPr>
        <w:rFonts w:hint="default"/>
      </w:rPr>
    </w:lvl>
    <w:lvl w:ilvl="4">
      <w:start w:val="1"/>
      <w:numFmt w:val="lowerLetter"/>
      <w:pStyle w:val="Level5"/>
      <w:lvlText w:val="%5)"/>
      <w:lvlJc w:val="left"/>
      <w:pPr>
        <w:ind w:left="720" w:hanging="720"/>
      </w:pPr>
      <w:rPr>
        <w:rFonts w:hint="default"/>
      </w:rPr>
    </w:lvl>
    <w:lvl w:ilvl="5">
      <w:start w:val="1"/>
      <w:numFmt w:val="lowerRoman"/>
      <w:pStyle w:val="Level6"/>
      <w:lvlText w:val="(%6)"/>
      <w:lvlJc w:val="left"/>
      <w:pPr>
        <w:tabs>
          <w:tab w:val="num" w:pos="1440"/>
        </w:tabs>
        <w:ind w:left="1440" w:hanging="72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ACC2A63"/>
    <w:multiLevelType w:val="multilevel"/>
    <w:tmpl w:val="6694B99E"/>
    <w:name w:val="OutNums"/>
    <w:lvl w:ilvl="0">
      <w:start w:val="1"/>
      <w:numFmt w:val="upperRoman"/>
      <w:pStyle w:val="OutNum1"/>
      <w:lvlText w:val="%1."/>
      <w:lvlJc w:val="left"/>
      <w:pPr>
        <w:tabs>
          <w:tab w:val="num" w:pos="720"/>
        </w:tabs>
        <w:ind w:left="0" w:firstLine="0"/>
      </w:pPr>
      <w:rPr>
        <w:rFonts w:hint="default"/>
      </w:rPr>
    </w:lvl>
    <w:lvl w:ilvl="1">
      <w:start w:val="1"/>
      <w:numFmt w:val="decimal"/>
      <w:pStyle w:val="OutNum2"/>
      <w:lvlText w:val="%2"/>
      <w:lvlJc w:val="left"/>
      <w:pPr>
        <w:tabs>
          <w:tab w:val="num" w:pos="720"/>
        </w:tabs>
        <w:ind w:left="720" w:hanging="720"/>
      </w:pPr>
      <w:rPr>
        <w:rFonts w:hint="default"/>
      </w:rPr>
    </w:lvl>
    <w:lvl w:ilvl="2">
      <w:start w:val="1"/>
      <w:numFmt w:val="decimal"/>
      <w:pStyle w:val="OutNum3"/>
      <w:lvlText w:val="%2.%3"/>
      <w:lvlJc w:val="left"/>
      <w:pPr>
        <w:tabs>
          <w:tab w:val="num" w:pos="720"/>
        </w:tabs>
        <w:ind w:left="720" w:hanging="720"/>
      </w:pPr>
      <w:rPr>
        <w:rFonts w:hint="default"/>
      </w:rPr>
    </w:lvl>
    <w:lvl w:ilvl="3">
      <w:start w:val="1"/>
      <w:numFmt w:val="decimal"/>
      <w:pStyle w:val="OutNum4"/>
      <w:lvlText w:val="%2.%3.%4"/>
      <w:lvlJc w:val="left"/>
      <w:pPr>
        <w:tabs>
          <w:tab w:val="num" w:pos="720"/>
        </w:tabs>
        <w:ind w:left="720" w:hanging="720"/>
      </w:pPr>
      <w:rPr>
        <w:rFonts w:hint="default"/>
      </w:rPr>
    </w:lvl>
    <w:lvl w:ilvl="4">
      <w:start w:val="1"/>
      <w:numFmt w:val="lowerLetter"/>
      <w:pStyle w:val="OutNum5"/>
      <w:lvlText w:val="(%5)"/>
      <w:lvlJc w:val="left"/>
      <w:pPr>
        <w:tabs>
          <w:tab w:val="num" w:pos="720"/>
        </w:tabs>
        <w:ind w:left="720" w:hanging="720"/>
      </w:pPr>
      <w:rPr>
        <w:rFonts w:hint="default"/>
      </w:rPr>
    </w:lvl>
    <w:lvl w:ilvl="5">
      <w:start w:val="1"/>
      <w:numFmt w:val="lowerRoman"/>
      <w:pStyle w:val="OutNum6"/>
      <w:lvlText w:val="(%6)"/>
      <w:lvlJc w:val="left"/>
      <w:pPr>
        <w:tabs>
          <w:tab w:val="num" w:pos="1440"/>
        </w:tabs>
        <w:ind w:left="1440" w:hanging="720"/>
      </w:pPr>
      <w:rPr>
        <w:rFonts w:hint="default"/>
      </w:rPr>
    </w:lvl>
    <w:lvl w:ilvl="6">
      <w:start w:val="1"/>
      <w:numFmt w:val="upperLetter"/>
      <w:pStyle w:val="OutNum7"/>
      <w:lvlText w:val="%7."/>
      <w:lvlJc w:val="left"/>
      <w:pPr>
        <w:tabs>
          <w:tab w:val="num" w:pos="720"/>
        </w:tabs>
        <w:ind w:left="720" w:hanging="72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B0661F6"/>
    <w:multiLevelType w:val="singleLevel"/>
    <w:tmpl w:val="4830EC42"/>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8" w15:restartNumberingAfterBreak="0">
    <w:nsid w:val="26536A81"/>
    <w:multiLevelType w:val="multilevel"/>
    <w:tmpl w:val="A68CF32C"/>
    <w:name w:val="ClientDocText"/>
    <w:lvl w:ilvl="0">
      <w:start w:val="1"/>
      <w:numFmt w:val="none"/>
      <w:pStyle w:val="DocText"/>
      <w:suff w:val="nothing"/>
      <w:lvlText w:val=""/>
      <w:lvlJc w:val="left"/>
      <w:pPr>
        <w:ind w:left="0" w:firstLine="0"/>
      </w:pPr>
    </w:lvl>
    <w:lvl w:ilvl="1">
      <w:start w:val="1"/>
      <w:numFmt w:val="none"/>
      <w:pStyle w:val="DocTextL1"/>
      <w:suff w:val="nothing"/>
      <w:lvlText w:val=""/>
      <w:lvlJc w:val="left"/>
      <w:pPr>
        <w:ind w:left="720" w:firstLine="0"/>
      </w:pPr>
    </w:lvl>
    <w:lvl w:ilvl="2">
      <w:start w:val="1"/>
      <w:numFmt w:val="none"/>
      <w:pStyle w:val="DocTextL2"/>
      <w:suff w:val="nothing"/>
      <w:lvlText w:val=""/>
      <w:lvlJc w:val="left"/>
      <w:pPr>
        <w:ind w:left="1440" w:firstLine="0"/>
      </w:pPr>
    </w:lvl>
    <w:lvl w:ilvl="3">
      <w:start w:val="1"/>
      <w:numFmt w:val="none"/>
      <w:pStyle w:val="DocTextL3"/>
      <w:suff w:val="nothing"/>
      <w:lvlText w:val=""/>
      <w:lvlJc w:val="left"/>
      <w:pPr>
        <w:ind w:left="2160" w:firstLine="0"/>
      </w:pPr>
    </w:lvl>
    <w:lvl w:ilvl="4">
      <w:start w:val="1"/>
      <w:numFmt w:val="none"/>
      <w:pStyle w:val="DocTextL4"/>
      <w:suff w:val="nothing"/>
      <w:lvlText w:val=""/>
      <w:lvlJc w:val="left"/>
      <w:pPr>
        <w:ind w:left="2880" w:firstLine="0"/>
      </w:pPr>
    </w:lvl>
    <w:lvl w:ilvl="5">
      <w:start w:val="1"/>
      <w:numFmt w:val="none"/>
      <w:pStyle w:val="DocTextL5"/>
      <w:suff w:val="nothing"/>
      <w:lvlText w:val=""/>
      <w:lvlJc w:val="left"/>
      <w:pPr>
        <w:ind w:left="3600" w:firstLine="0"/>
      </w:pPr>
    </w:lvl>
    <w:lvl w:ilvl="6">
      <w:start w:val="1"/>
      <w:numFmt w:val="none"/>
      <w:pStyle w:val="DocTextL6"/>
      <w:suff w:val="nothing"/>
      <w:lvlText w:val=""/>
      <w:lvlJc w:val="left"/>
      <w:pPr>
        <w:ind w:left="4320" w:firstLine="0"/>
      </w:pPr>
    </w:lvl>
    <w:lvl w:ilvl="7">
      <w:start w:val="1"/>
      <w:numFmt w:val="none"/>
      <w:pStyle w:val="DocTextL7"/>
      <w:suff w:val="nothing"/>
      <w:lvlText w:val=""/>
      <w:lvlJc w:val="left"/>
      <w:pPr>
        <w:ind w:left="5040" w:firstLine="0"/>
      </w:pPr>
    </w:lvl>
    <w:lvl w:ilvl="8">
      <w:start w:val="1"/>
      <w:numFmt w:val="none"/>
      <w:pStyle w:val="DocTextL8"/>
      <w:suff w:val="nothing"/>
      <w:lvlText w:val=""/>
      <w:lvlJc w:val="left"/>
      <w:pPr>
        <w:ind w:left="5760" w:firstLine="0"/>
      </w:pPr>
    </w:lvl>
  </w:abstractNum>
  <w:abstractNum w:abstractNumId="9" w15:restartNumberingAfterBreak="0">
    <w:nsid w:val="29793226"/>
    <w:multiLevelType w:val="multilevel"/>
    <w:tmpl w:val="6F5C9854"/>
    <w:lvl w:ilvl="0">
      <w:start w:val="1"/>
      <w:numFmt w:val="bullet"/>
      <w:lvlRestart w:val="0"/>
      <w:pStyle w:val="BulletL10"/>
      <w:lvlText w:val=""/>
      <w:lvlJc w:val="left"/>
      <w:pPr>
        <w:tabs>
          <w:tab w:val="num" w:pos="680"/>
        </w:tabs>
        <w:ind w:left="680" w:hanging="679"/>
      </w:pPr>
      <w:rPr>
        <w:rFonts w:ascii="Symbol" w:hAnsi="Symbol" w:cs="Times New Roman" w:hint="default"/>
        <w:b w:val="0"/>
        <w:i w:val="0"/>
        <w:caps w:val="0"/>
        <w:strike w:val="0"/>
        <w:dstrike w:val="0"/>
        <w:vanish w:val="0"/>
        <w:color w:val="auto"/>
        <w:sz w:val="20"/>
        <w:szCs w:val="20"/>
        <w:u w:val="none"/>
        <w:vertAlign w:val="baseline"/>
      </w:rPr>
    </w:lvl>
    <w:lvl w:ilvl="1">
      <w:start w:val="1"/>
      <w:numFmt w:val="bullet"/>
      <w:lvlRestart w:val="0"/>
      <w:pStyle w:val="BulletL2"/>
      <w:lvlText w:val=""/>
      <w:lvlJc w:val="left"/>
      <w:pPr>
        <w:tabs>
          <w:tab w:val="num" w:pos="1361"/>
        </w:tabs>
        <w:ind w:left="1361" w:hanging="681"/>
      </w:pPr>
      <w:rPr>
        <w:rFonts w:ascii="Symbol" w:hAnsi="Symbol" w:cs="Symbol" w:hint="default"/>
        <w:b w:val="0"/>
        <w:i w:val="0"/>
        <w:caps w:val="0"/>
        <w:strike w:val="0"/>
        <w:dstrike w:val="0"/>
        <w:vanish w:val="0"/>
        <w:color w:val="auto"/>
        <w:sz w:val="20"/>
        <w:szCs w:val="20"/>
        <w:u w:val="none"/>
        <w:vertAlign w:val="baseline"/>
      </w:rPr>
    </w:lvl>
    <w:lvl w:ilvl="2">
      <w:start w:val="1"/>
      <w:numFmt w:val="bullet"/>
      <w:lvlRestart w:val="0"/>
      <w:pStyle w:val="BulletL3"/>
      <w:lvlText w:val=""/>
      <w:lvlJc w:val="left"/>
      <w:pPr>
        <w:tabs>
          <w:tab w:val="num" w:pos="2041"/>
        </w:tabs>
        <w:ind w:left="2041" w:hanging="680"/>
      </w:pPr>
      <w:rPr>
        <w:rFonts w:ascii="Symbol" w:hAnsi="Symbol" w:cs="Symbol" w:hint="default"/>
        <w:b w:val="0"/>
        <w:i w:val="0"/>
        <w:caps w:val="0"/>
        <w:strike w:val="0"/>
        <w:dstrike w:val="0"/>
        <w:vanish w:val="0"/>
        <w:color w:val="auto"/>
        <w:sz w:val="20"/>
        <w:szCs w:val="20"/>
        <w:u w:val="none"/>
        <w:vertAlign w:val="baseline"/>
      </w:rPr>
    </w:lvl>
    <w:lvl w:ilvl="3">
      <w:start w:val="1"/>
      <w:numFmt w:val="bullet"/>
      <w:lvlRestart w:val="0"/>
      <w:pStyle w:val="BulletL4"/>
      <w:lvlText w:val=""/>
      <w:lvlJc w:val="left"/>
      <w:pPr>
        <w:tabs>
          <w:tab w:val="num" w:pos="2721"/>
        </w:tabs>
        <w:ind w:left="2721" w:hanging="680"/>
      </w:pPr>
      <w:rPr>
        <w:rFonts w:ascii="Symbol" w:hAnsi="Symbol" w:cs="Symbol" w:hint="default"/>
        <w:b w:val="0"/>
        <w:i w:val="0"/>
        <w:caps w:val="0"/>
        <w:strike w:val="0"/>
        <w:dstrike w:val="0"/>
        <w:vanish w:val="0"/>
        <w:color w:val="auto"/>
        <w:sz w:val="20"/>
        <w:szCs w:val="20"/>
        <w:u w:val="none"/>
        <w:vertAlign w:val="baseline"/>
      </w:rPr>
    </w:lvl>
    <w:lvl w:ilvl="4">
      <w:start w:val="1"/>
      <w:numFmt w:val="bullet"/>
      <w:lvlRestart w:val="0"/>
      <w:pStyle w:val="BulletL5"/>
      <w:lvlText w:val=""/>
      <w:lvlJc w:val="left"/>
      <w:pPr>
        <w:tabs>
          <w:tab w:val="num" w:pos="3402"/>
        </w:tabs>
        <w:ind w:left="3402" w:hanging="681"/>
      </w:pPr>
      <w:rPr>
        <w:rFonts w:ascii="Symbol" w:hAnsi="Symbol" w:cs="Symbol" w:hint="default"/>
        <w:b w:val="0"/>
        <w:i w:val="0"/>
        <w:caps w:val="0"/>
        <w:strike w:val="0"/>
        <w:dstrike w:val="0"/>
        <w:vanish w:val="0"/>
        <w:color w:val="auto"/>
        <w:sz w:val="20"/>
        <w:szCs w:val="20"/>
        <w:u w:val="none"/>
        <w:vertAlign w:val="baseline"/>
      </w:rPr>
    </w:lvl>
    <w:lvl w:ilvl="5">
      <w:start w:val="1"/>
      <w:numFmt w:val="bullet"/>
      <w:lvlRestart w:val="0"/>
      <w:pStyle w:val="BulletL6"/>
      <w:lvlText w:val=""/>
      <w:lvlJc w:val="left"/>
      <w:pPr>
        <w:tabs>
          <w:tab w:val="num" w:pos="4082"/>
        </w:tabs>
        <w:ind w:left="4082" w:hanging="680"/>
      </w:pPr>
      <w:rPr>
        <w:rFonts w:ascii="Symbol" w:hAnsi="Symbol" w:cs="Symbol" w:hint="default"/>
        <w:b w:val="0"/>
        <w:i w:val="0"/>
        <w:caps w:val="0"/>
        <w:strike w:val="0"/>
        <w:dstrike w:val="0"/>
        <w:vanish w:val="0"/>
        <w:color w:val="auto"/>
        <w:sz w:val="20"/>
        <w:szCs w:val="20"/>
        <w:u w:val="none"/>
        <w:vertAlign w:val="baseline"/>
      </w:rPr>
    </w:lvl>
    <w:lvl w:ilvl="6">
      <w:start w:val="1"/>
      <w:numFmt w:val="bullet"/>
      <w:lvlRestart w:val="0"/>
      <w:pStyle w:val="BulletL7"/>
      <w:lvlText w:val=""/>
      <w:lvlJc w:val="left"/>
      <w:pPr>
        <w:tabs>
          <w:tab w:val="num" w:pos="4762"/>
        </w:tabs>
        <w:ind w:left="4762" w:hanging="680"/>
      </w:pPr>
      <w:rPr>
        <w:rFonts w:ascii="Symbol" w:hAnsi="Symbol" w:cs="Symbol" w:hint="default"/>
        <w:b w:val="0"/>
        <w:i w:val="0"/>
        <w:caps w:val="0"/>
        <w:strike w:val="0"/>
        <w:dstrike w:val="0"/>
        <w:vanish w:val="0"/>
        <w:color w:val="auto"/>
        <w:sz w:val="20"/>
        <w:szCs w:val="20"/>
        <w:u w:val="none"/>
        <w:vertAlign w:val="baseline"/>
      </w:rPr>
    </w:lvl>
    <w:lvl w:ilvl="7">
      <w:start w:val="1"/>
      <w:numFmt w:val="none"/>
      <w:lvlRestart w:val="0"/>
      <w:pStyle w:val="BulletL8"/>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10" w15:restartNumberingAfterBreak="0">
    <w:nsid w:val="315E171B"/>
    <w:multiLevelType w:val="multilevel"/>
    <w:tmpl w:val="06C4D766"/>
    <w:name w:val="AOHead"/>
    <w:lvl w:ilvl="0">
      <w:start w:val="1"/>
      <w:numFmt w:val="upperRoman"/>
      <w:pStyle w:val="Gennum1"/>
      <w:lvlText w:val="%1."/>
      <w:lvlJc w:val="left"/>
      <w:pPr>
        <w:ind w:left="720" w:hanging="720"/>
      </w:pPr>
      <w:rPr>
        <w:rFonts w:hint="default"/>
      </w:rPr>
    </w:lvl>
    <w:lvl w:ilvl="1">
      <w:start w:val="1"/>
      <w:numFmt w:val="decimal"/>
      <w:pStyle w:val="Gennum2"/>
      <w:lvlText w:val="%2"/>
      <w:lvlJc w:val="left"/>
      <w:pPr>
        <w:tabs>
          <w:tab w:val="num" w:pos="720"/>
        </w:tabs>
        <w:ind w:left="720" w:hanging="720"/>
      </w:pPr>
      <w:rPr>
        <w:rFonts w:hint="default"/>
        <w:b/>
      </w:rPr>
    </w:lvl>
    <w:lvl w:ilvl="2">
      <w:start w:val="1"/>
      <w:numFmt w:val="decimal"/>
      <w:pStyle w:val="Gennum3"/>
      <w:lvlText w:val="%2.%3"/>
      <w:lvlJc w:val="left"/>
      <w:pPr>
        <w:tabs>
          <w:tab w:val="num" w:pos="720"/>
        </w:tabs>
        <w:ind w:left="720" w:hanging="720"/>
      </w:pPr>
      <w:rPr>
        <w:rFonts w:hint="default"/>
        <w:b/>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1FA6DE9"/>
    <w:multiLevelType w:val="singleLevel"/>
    <w:tmpl w:val="7C14B0E4"/>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12" w15:restartNumberingAfterBreak="0">
    <w:nsid w:val="341D05CD"/>
    <w:multiLevelType w:val="multilevel"/>
    <w:tmpl w:val="F6CA578E"/>
    <w:name w:val="ClientTOC"/>
    <w:lvl w:ilvl="0">
      <w:start w:val="1"/>
      <w:numFmt w:val="decimal"/>
      <w:lvlRestart w:val="0"/>
      <w:lvlText w:val="ANNEX %1"/>
      <w:lvlJc w:val="left"/>
      <w:pPr>
        <w:ind w:left="1440" w:hanging="1440"/>
      </w:pPr>
    </w:lvl>
    <w:lvl w:ilvl="1">
      <w:start w:val="1"/>
      <w:numFmt w:val="decimal"/>
      <w:lvlText w:val="PART %2"/>
      <w:lvlJc w:val="left"/>
      <w:pPr>
        <w:ind w:left="2721" w:hanging="1281"/>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356948AA"/>
    <w:multiLevelType w:val="multilevel"/>
    <w:tmpl w:val="982665AA"/>
    <w:name w:val="Titles"/>
    <w:lvl w:ilvl="0">
      <w:start w:val="1"/>
      <w:numFmt w:val="none"/>
      <w:lvlRestart w:val="0"/>
      <w:pStyle w:val="Title1"/>
      <w:suff w:val="nothing"/>
      <w:lvlText w:val=""/>
      <w:lvlJc w:val="center"/>
      <w:pPr>
        <w:ind w:left="0" w:firstLine="0"/>
      </w:pPr>
      <w:rPr>
        <w:rFonts w:hint="default"/>
        <w:b w:val="0"/>
        <w:i w:val="0"/>
        <w:caps w:val="0"/>
        <w:strike w:val="0"/>
        <w:dstrike w:val="0"/>
        <w:vanish w:val="0"/>
        <w:color w:val="auto"/>
        <w:sz w:val="20"/>
        <w:u w:val="none"/>
        <w:vertAlign w:val="baseline"/>
      </w:rPr>
    </w:lvl>
    <w:lvl w:ilvl="1">
      <w:start w:val="1"/>
      <w:numFmt w:val="none"/>
      <w:lvlRestart w:val="0"/>
      <w:pStyle w:val="Title2"/>
      <w:suff w:val="nothing"/>
      <w:lvlText w:val=""/>
      <w:lvlJc w:val="center"/>
      <w:pPr>
        <w:ind w:left="0" w:firstLine="0"/>
      </w:pPr>
      <w:rPr>
        <w:rFonts w:hint="default"/>
        <w:b w:val="0"/>
        <w:i w:val="0"/>
        <w:caps w:val="0"/>
        <w:strike w:val="0"/>
        <w:dstrike w:val="0"/>
        <w:vanish w:val="0"/>
        <w:color w:val="auto"/>
        <w:sz w:val="20"/>
        <w:u w:val="none"/>
        <w:vertAlign w:val="baseline"/>
      </w:rPr>
    </w:lvl>
    <w:lvl w:ilvl="2">
      <w:start w:val="1"/>
      <w:numFmt w:val="none"/>
      <w:lvlRestart w:val="0"/>
      <w:pStyle w:val="Title3"/>
      <w:suff w:val="nothing"/>
      <w:lvlText w:val=""/>
      <w:lvlJc w:val="center"/>
      <w:pPr>
        <w:ind w:left="0" w:firstLine="0"/>
      </w:pPr>
      <w:rPr>
        <w:rFonts w:hint="default"/>
        <w:b w:val="0"/>
        <w:i w:val="0"/>
        <w:caps w:val="0"/>
        <w:strike w:val="0"/>
        <w:dstrike w:val="0"/>
        <w:vanish w:val="0"/>
        <w:color w:val="auto"/>
        <w:sz w:val="20"/>
        <w:u w:val="none"/>
        <w:vertAlign w:val="baseline"/>
      </w:rPr>
    </w:lvl>
    <w:lvl w:ilvl="3">
      <w:start w:val="1"/>
      <w:numFmt w:val="none"/>
      <w:lvlRestart w:val="0"/>
      <w:pStyle w:val="Title4"/>
      <w:suff w:val="nothing"/>
      <w:lvlText w:val=""/>
      <w:lvlJc w:val="left"/>
      <w:pPr>
        <w:ind w:left="0" w:firstLine="0"/>
      </w:pPr>
      <w:rPr>
        <w:rFonts w:hint="default"/>
        <w:b w:val="0"/>
        <w:i w:val="0"/>
        <w:caps w:val="0"/>
        <w:strike w:val="0"/>
        <w:dstrike w:val="0"/>
        <w:vanish w:val="0"/>
        <w:color w:val="auto"/>
        <w:sz w:val="20"/>
        <w:u w:val="none"/>
        <w:vertAlign w:val="baseline"/>
      </w:rPr>
    </w:lvl>
    <w:lvl w:ilvl="4">
      <w:start w:val="1"/>
      <w:numFmt w:val="none"/>
      <w:lvlRestart w:val="0"/>
      <w:pStyle w:val="Title5"/>
      <w:suff w:val="nothing"/>
      <w:lvlText w:val=""/>
      <w:lvlJc w:val="left"/>
      <w:pPr>
        <w:ind w:left="680" w:firstLine="0"/>
      </w:pPr>
      <w:rPr>
        <w:rFonts w:hint="default"/>
        <w:b w:val="0"/>
        <w:i w:val="0"/>
        <w:caps w:val="0"/>
        <w:strike w:val="0"/>
        <w:dstrike w:val="0"/>
        <w:vanish w:val="0"/>
        <w:color w:val="auto"/>
        <w:sz w:val="20"/>
        <w:u w:val="none"/>
        <w:vertAlign w:val="baseline"/>
      </w:rPr>
    </w:lvl>
    <w:lvl w:ilvl="5">
      <w:start w:val="1"/>
      <w:numFmt w:val="none"/>
      <w:lvlRestart w:val="0"/>
      <w:pStyle w:val="Title6"/>
      <w:suff w:val="nothing"/>
      <w:lvlText w:val=""/>
      <w:lvlJc w:val="left"/>
      <w:pPr>
        <w:ind w:left="680" w:firstLine="0"/>
      </w:pPr>
      <w:rPr>
        <w:rFonts w:hint="default"/>
        <w:b w:val="0"/>
        <w:i w:val="0"/>
        <w:caps w:val="0"/>
        <w:strike w:val="0"/>
        <w:dstrike w:val="0"/>
        <w:vanish w:val="0"/>
        <w:color w:val="auto"/>
        <w:sz w:val="20"/>
        <w:u w:val="none"/>
        <w:vertAlign w:val="baseline"/>
      </w:rPr>
    </w:lvl>
    <w:lvl w:ilvl="6">
      <w:start w:val="1"/>
      <w:numFmt w:val="none"/>
      <w:lvlRestart w:val="0"/>
      <w:pStyle w:val="Title7"/>
      <w:suff w:val="nothing"/>
      <w:lvlText w:val=""/>
      <w:lvlJc w:val="left"/>
      <w:pPr>
        <w:ind w:left="0" w:firstLine="0"/>
      </w:pPr>
      <w:rPr>
        <w:rFonts w:hint="default"/>
        <w:b w:val="0"/>
        <w:i w:val="0"/>
        <w:caps w:val="0"/>
        <w:strike w:val="0"/>
        <w:dstrike w:val="0"/>
        <w:vanish w:val="0"/>
        <w:color w:val="auto"/>
        <w:sz w:val="20"/>
        <w:u w:val="none"/>
        <w:vertAlign w:val="baseline"/>
      </w:rPr>
    </w:lvl>
    <w:lvl w:ilvl="7">
      <w:start w:val="1"/>
      <w:numFmt w:val="none"/>
      <w:lvlRestart w:val="0"/>
      <w:lvlText w:val="%8"/>
      <w:lvlJc w:val="left"/>
      <w:pPr>
        <w:ind w:left="0" w:firstLine="0"/>
      </w:pPr>
      <w:rPr>
        <w:rFonts w:hint="default"/>
        <w:b w:val="0"/>
        <w:i w:val="0"/>
        <w:caps w:val="0"/>
        <w:strike w:val="0"/>
        <w:dstrike w:val="0"/>
        <w:vanish w:val="0"/>
        <w:color w:val="auto"/>
        <w:sz w:val="20"/>
        <w:u w:val="none"/>
        <w:vertAlign w:val="baseline"/>
      </w:rPr>
    </w:lvl>
    <w:lvl w:ilvl="8">
      <w:start w:val="1"/>
      <w:numFmt w:val="none"/>
      <w:lvlRestart w:val="0"/>
      <w:suff w:val="nothing"/>
      <w:lvlText w:val="%9"/>
      <w:lvlJc w:val="left"/>
      <w:pPr>
        <w:ind w:left="0" w:firstLine="0"/>
      </w:pPr>
      <w:rPr>
        <w:rFonts w:hint="default"/>
        <w:b w:val="0"/>
        <w:i w:val="0"/>
        <w:caps w:val="0"/>
        <w:strike w:val="0"/>
        <w:dstrike w:val="0"/>
        <w:vanish w:val="0"/>
        <w:color w:val="auto"/>
        <w:sz w:val="20"/>
        <w:u w:val="none"/>
        <w:vertAlign w:val="baseline"/>
      </w:rPr>
    </w:lvl>
  </w:abstractNum>
  <w:abstractNum w:abstractNumId="14" w15:restartNumberingAfterBreak="0">
    <w:nsid w:val="388042D9"/>
    <w:multiLevelType w:val="multilevel"/>
    <w:tmpl w:val="02641D80"/>
    <w:name w:val="Paranums"/>
    <w:lvl w:ilvl="0">
      <w:start w:val="1"/>
      <w:numFmt w:val="upperRoman"/>
      <w:pStyle w:val="paranum1"/>
      <w:lvlText w:val="%1."/>
      <w:lvlJc w:val="left"/>
      <w:pPr>
        <w:ind w:left="720" w:hanging="720"/>
      </w:pPr>
      <w:rPr>
        <w:rFonts w:hint="default"/>
      </w:rPr>
    </w:lvl>
    <w:lvl w:ilvl="1">
      <w:start w:val="1"/>
      <w:numFmt w:val="upperLetter"/>
      <w:pStyle w:val="paranum2"/>
      <w:lvlText w:val="%2)"/>
      <w:lvlJc w:val="left"/>
      <w:pPr>
        <w:ind w:left="720" w:hanging="720"/>
      </w:pPr>
      <w:rPr>
        <w:rFonts w:hint="default"/>
      </w:rPr>
    </w:lvl>
    <w:lvl w:ilvl="2">
      <w:start w:val="1"/>
      <w:numFmt w:val="lowerLetter"/>
      <w:pStyle w:val="paranum3"/>
      <w:lvlText w:val="%3)"/>
      <w:lvlJc w:val="left"/>
      <w:pPr>
        <w:ind w:left="72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91D542D"/>
    <w:multiLevelType w:val="multilevel"/>
    <w:tmpl w:val="3118B31C"/>
    <w:name w:val="AOTOC67"/>
    <w:lvl w:ilvl="0">
      <w:start w:val="1"/>
      <w:numFmt w:val="decimal"/>
      <w:lvlRestart w:val="0"/>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3D0E7D39"/>
    <w:multiLevelType w:val="multilevel"/>
    <w:tmpl w:val="BFACBA4C"/>
    <w:name w:val="AOSch"/>
    <w:lvl w:ilvl="0">
      <w:start w:val="1"/>
      <w:numFmt w:val="decimal"/>
      <w:lvlRestart w:val="0"/>
      <w:pStyle w:val="AOSchHead"/>
      <w:suff w:val="nothing"/>
      <w:lvlText w:val="Příloha %1"/>
      <w:lvlJc w:val="left"/>
      <w:pPr>
        <w:tabs>
          <w:tab w:val="num" w:pos="0"/>
        </w:tabs>
        <w:ind w:left="0" w:firstLine="0"/>
      </w:pPr>
      <w:rPr>
        <w:rFonts w:ascii="Times New Roman Bold" w:hAnsi="Times New Roman Bold"/>
      </w:rPr>
    </w:lvl>
    <w:lvl w:ilvl="1">
      <w:start w:val="1"/>
      <w:numFmt w:val="decimal"/>
      <w:pStyle w:val="AOSchPartHead"/>
      <w:suff w:val="nothing"/>
      <w:lvlText w:val="Čás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7" w15:restartNumberingAfterBreak="0">
    <w:nsid w:val="3E29759A"/>
    <w:multiLevelType w:val="multilevel"/>
    <w:tmpl w:val="E858054A"/>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15:restartNumberingAfterBreak="0">
    <w:nsid w:val="41F230E7"/>
    <w:multiLevelType w:val="singleLevel"/>
    <w:tmpl w:val="D8EEB1C0"/>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19" w15:restartNumberingAfterBreak="0">
    <w:nsid w:val="4412285C"/>
    <w:multiLevelType w:val="multilevel"/>
    <w:tmpl w:val="43B27066"/>
    <w:name w:val="ClientAnnex"/>
    <w:lvl w:ilvl="0">
      <w:start w:val="1"/>
      <w:numFmt w:val="decimal"/>
      <w:lvlRestart w:val="0"/>
      <w:pStyle w:val="AnxHead"/>
      <w:suff w:val="nothing"/>
      <w:lvlText w:val="ANNEX %1"/>
      <w:lvlJc w:val="left"/>
      <w:pPr>
        <w:ind w:left="0" w:firstLine="0"/>
      </w:pPr>
      <w:rPr>
        <w:b/>
        <w:caps/>
        <w:smallCaps w:val="0"/>
      </w:rPr>
    </w:lvl>
    <w:lvl w:ilvl="1">
      <w:start w:val="1"/>
      <w:numFmt w:val="none"/>
      <w:suff w:val="nothing"/>
      <w:lvlText w:val=""/>
      <w:lvlJc w:val="left"/>
      <w:pPr>
        <w:ind w:left="0" w:firstLine="0"/>
      </w:pPr>
      <w:rPr>
        <w:b/>
        <w:caps/>
        <w:smallCaps w:val="0"/>
      </w:rPr>
    </w:lvl>
    <w:lvl w:ilvl="2">
      <w:start w:val="1"/>
      <w:numFmt w:val="decimal"/>
      <w:suff w:val="nothing"/>
      <w:lvlText w:val="PART %3"/>
      <w:lvlJc w:val="left"/>
      <w:pPr>
        <w:ind w:left="0" w:firstLine="0"/>
      </w:pPr>
      <w:rPr>
        <w:b/>
        <w:caps/>
        <w:smallCaps w:val="0"/>
      </w:rPr>
    </w:lvl>
    <w:lvl w:ilvl="3">
      <w:start w:val="1"/>
      <w:numFmt w:val="none"/>
      <w:suff w:val="nothing"/>
      <w:lvlText w:val=""/>
      <w:lvlJc w:val="left"/>
      <w:pPr>
        <w:ind w:left="0" w:firstLine="0"/>
      </w:pPr>
      <w:rPr>
        <w:b/>
      </w:r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0" w15:restartNumberingAfterBreak="0">
    <w:nsid w:val="46055F3A"/>
    <w:multiLevelType w:val="multilevel"/>
    <w:tmpl w:val="0DE8E01E"/>
    <w:name w:val="ClientTable"/>
    <w:lvl w:ilvl="0">
      <w:start w:val="1"/>
      <w:numFmt w:val="decimal"/>
      <w:lvlRestart w:val="0"/>
      <w:pStyle w:val="TableL1"/>
      <w:lvlText w:val="%1."/>
      <w:lvlJc w:val="left"/>
      <w:pPr>
        <w:ind w:left="720" w:hanging="720"/>
      </w:pPr>
      <w:rPr>
        <w:b/>
      </w:rPr>
    </w:lvl>
    <w:lvl w:ilvl="1">
      <w:start w:val="1"/>
      <w:numFmt w:val="decimal"/>
      <w:pStyle w:val="TableL2"/>
      <w:lvlText w:val="%1.%2"/>
      <w:lvlJc w:val="left"/>
      <w:pPr>
        <w:ind w:left="720" w:hanging="720"/>
      </w:pPr>
    </w:lvl>
    <w:lvl w:ilvl="2">
      <w:start w:val="1"/>
      <w:numFmt w:val="lowerRoman"/>
      <w:pStyle w:val="TableL3"/>
      <w:lvlText w:val="(%3)"/>
      <w:lvlJc w:val="left"/>
      <w:pPr>
        <w:ind w:left="720" w:hanging="720"/>
      </w:pPr>
    </w:lvl>
    <w:lvl w:ilvl="3">
      <w:start w:val="1"/>
      <w:numFmt w:val="lowerLetter"/>
      <w:pStyle w:val="TableL4"/>
      <w:lvlText w:val="(%4)"/>
      <w:lvlJc w:val="left"/>
      <w:pPr>
        <w:ind w:left="720" w:hanging="720"/>
      </w:pPr>
    </w:lvl>
    <w:lvl w:ilvl="4">
      <w:start w:val="1"/>
      <w:numFmt w:val="lowerRoman"/>
      <w:pStyle w:val="TableL5"/>
      <w:lvlText w:val="(%5)"/>
      <w:lvlJc w:val="left"/>
      <w:pPr>
        <w:ind w:left="1440" w:hanging="720"/>
      </w:pPr>
    </w:lvl>
    <w:lvl w:ilvl="5">
      <w:start w:val="1"/>
      <w:numFmt w:val="lowerLetter"/>
      <w:pStyle w:val="TableL6"/>
      <w:lvlText w:val="(%6)"/>
      <w:lvlJc w:val="left"/>
      <w:pPr>
        <w:ind w:left="1440" w:hanging="720"/>
      </w:pPr>
    </w:lvl>
    <w:lvl w:ilvl="6">
      <w:start w:val="1"/>
      <w:numFmt w:val="upperLetter"/>
      <w:pStyle w:val="TableL7"/>
      <w:lvlText w:val="(%7)"/>
      <w:lvlJc w:val="left"/>
      <w:pPr>
        <w:ind w:left="1440" w:hanging="720"/>
      </w:pPr>
    </w:lvl>
    <w:lvl w:ilvl="7">
      <w:start w:val="1"/>
      <w:numFmt w:val="upperLetter"/>
      <w:pStyle w:val="TableL8"/>
      <w:lvlText w:val="(%8)"/>
      <w:lvlJc w:val="left"/>
      <w:pPr>
        <w:ind w:left="2160" w:hanging="720"/>
      </w:pPr>
    </w:lvl>
    <w:lvl w:ilvl="8">
      <w:start w:val="1"/>
      <w:numFmt w:val="decimal"/>
      <w:pStyle w:val="TableL9"/>
      <w:lvlText w:val="(%9)"/>
      <w:lvlJc w:val="left"/>
      <w:pPr>
        <w:ind w:left="2160" w:hanging="720"/>
      </w:pPr>
    </w:lvl>
  </w:abstractNum>
  <w:abstractNum w:abstractNumId="21" w15:restartNumberingAfterBreak="0">
    <w:nsid w:val="47B238E7"/>
    <w:multiLevelType w:val="multilevel"/>
    <w:tmpl w:val="D2C69366"/>
    <w:name w:val="AOGen3"/>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9C66851"/>
    <w:multiLevelType w:val="multilevel"/>
    <w:tmpl w:val="744277EA"/>
    <w:name w:val="AOAnx"/>
    <w:lvl w:ilvl="0">
      <w:start w:val="1"/>
      <w:numFmt w:val="decimal"/>
      <w:lvlRestart w:val="0"/>
      <w:pStyle w:val="AOAnxHead"/>
      <w:suff w:val="nothing"/>
      <w:lvlText w:val="Příloha %1"/>
      <w:lvlJc w:val="left"/>
      <w:pPr>
        <w:tabs>
          <w:tab w:val="num" w:pos="0"/>
        </w:tabs>
        <w:ind w:left="0" w:firstLine="0"/>
      </w:pPr>
      <w:rPr>
        <w:rFonts w:ascii="Times New Roman Bold" w:hAnsi="Times New Roman Bold"/>
      </w:rPr>
    </w:lvl>
    <w:lvl w:ilvl="1">
      <w:start w:val="1"/>
      <w:numFmt w:val="decimal"/>
      <w:pStyle w:val="AOAnxPartHead"/>
      <w:suff w:val="nothing"/>
      <w:lvlText w:val="Čás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3" w15:restartNumberingAfterBreak="0">
    <w:nsid w:val="4CFE7B09"/>
    <w:multiLevelType w:val="multilevel"/>
    <w:tmpl w:val="ED72CCE0"/>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4" w15:restartNumberingAfterBreak="0">
    <w:nsid w:val="4E4B4E3E"/>
    <w:multiLevelType w:val="multilevel"/>
    <w:tmpl w:val="A468C28C"/>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5" w15:restartNumberingAfterBreak="0">
    <w:nsid w:val="50481406"/>
    <w:multiLevelType w:val="multilevel"/>
    <w:tmpl w:val="FF46E3D0"/>
    <w:styleLink w:val="nadpis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511C70D7"/>
    <w:multiLevelType w:val="multilevel"/>
    <w:tmpl w:val="F258D804"/>
    <w:name w:val="AOTOC34"/>
    <w:lvl w:ilvl="0">
      <w:start w:val="1"/>
      <w:numFmt w:val="decimal"/>
      <w:lvlRestart w:val="0"/>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7" w15:restartNumberingAfterBreak="0">
    <w:nsid w:val="583645C7"/>
    <w:multiLevelType w:val="multilevel"/>
    <w:tmpl w:val="9FD05654"/>
    <w:styleLink w:val="Odrka"/>
    <w:lvl w:ilvl="0">
      <w:start w:val="1"/>
      <w:numFmt w:val="bullet"/>
      <w:lvlText w:val=""/>
      <w:lvlJc w:val="left"/>
      <w:pPr>
        <w:tabs>
          <w:tab w:val="num" w:pos="227"/>
        </w:tabs>
        <w:ind w:left="227" w:hanging="227"/>
      </w:pPr>
      <w:rPr>
        <w:rFonts w:ascii="Symbol" w:hAnsi="Symbol" w:hint="default"/>
        <w:color w:val="999999"/>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04034B"/>
    <w:multiLevelType w:val="multilevel"/>
    <w:tmpl w:val="95E4DEAC"/>
    <w:name w:val="ClientNum1"/>
    <w:lvl w:ilvl="0">
      <w:start w:val="1"/>
      <w:numFmt w:val="decimal"/>
      <w:lvlRestart w:val="0"/>
      <w:pStyle w:val="Num1L1"/>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3"/>
      <w:lvlJc w:val="left"/>
      <w:pPr>
        <w:ind w:left="1440" w:hanging="720"/>
      </w:pPr>
      <w:rPr>
        <w:rFonts w:hint="default"/>
      </w:rPr>
    </w:lvl>
    <w:lvl w:ilvl="3">
      <w:start w:val="1"/>
      <w:numFmt w:val="lowerLetter"/>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160" w:hanging="720"/>
      </w:pPr>
      <w:rPr>
        <w:rFonts w:hint="default"/>
      </w:rPr>
    </w:lvl>
    <w:lvl w:ilvl="6">
      <w:start w:val="1"/>
      <w:numFmt w:val="lowerRoman"/>
      <w:lvlText w:val="(%7)"/>
      <w:lvlJc w:val="left"/>
      <w:pPr>
        <w:ind w:left="2880" w:hanging="720"/>
      </w:pPr>
      <w:rPr>
        <w:rFonts w:hint="default"/>
      </w:rPr>
    </w:lvl>
    <w:lvl w:ilvl="7">
      <w:start w:val="1"/>
      <w:numFmt w:val="upperLetter"/>
      <w:lvlText w:val="(%8)"/>
      <w:lvlJc w:val="left"/>
      <w:pPr>
        <w:ind w:left="2880" w:hanging="720"/>
      </w:pPr>
      <w:rPr>
        <w:rFonts w:hint="default"/>
      </w:rPr>
    </w:lvl>
    <w:lvl w:ilvl="8">
      <w:start w:val="1"/>
      <w:numFmt w:val="upperLetter"/>
      <w:lvlText w:val="(%9)"/>
      <w:lvlJc w:val="left"/>
      <w:pPr>
        <w:ind w:left="3600" w:hanging="720"/>
      </w:pPr>
      <w:rPr>
        <w:rFonts w:hint="default"/>
      </w:rPr>
    </w:lvl>
  </w:abstractNum>
  <w:abstractNum w:abstractNumId="29" w15:restartNumberingAfterBreak="0">
    <w:nsid w:val="5EFF2A80"/>
    <w:multiLevelType w:val="multilevel"/>
    <w:tmpl w:val="BB6A6CC6"/>
    <w:name w:val="text"/>
    <w:lvl w:ilvl="0">
      <w:start w:val="1"/>
      <w:numFmt w:val="decimal"/>
      <w:pStyle w:val="Text1"/>
      <w:lvlText w:val="%1"/>
      <w:lvlJc w:val="left"/>
      <w:pPr>
        <w:tabs>
          <w:tab w:val="num" w:pos="720"/>
        </w:tabs>
        <w:ind w:left="720" w:hanging="720"/>
      </w:pPr>
      <w:rPr>
        <w:rFonts w:hint="default"/>
        <w:i w:val="0"/>
      </w:rPr>
    </w:lvl>
    <w:lvl w:ilvl="1">
      <w:start w:val="1"/>
      <w:numFmt w:val="decimal"/>
      <w:pStyle w:val="Text2"/>
      <w:lvlText w:val="%1.%2"/>
      <w:lvlJc w:val="left"/>
      <w:pPr>
        <w:tabs>
          <w:tab w:val="num" w:pos="720"/>
        </w:tabs>
        <w:ind w:left="720"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108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2830D10"/>
    <w:multiLevelType w:val="multilevel"/>
    <w:tmpl w:val="DEAC06D2"/>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1" w15:restartNumberingAfterBreak="0">
    <w:nsid w:val="66DA103F"/>
    <w:multiLevelType w:val="multilevel"/>
    <w:tmpl w:val="A85EAC4E"/>
    <w:lvl w:ilvl="0">
      <w:start w:val="1"/>
      <w:numFmt w:val="none"/>
      <w:lvlRestart w:val="0"/>
      <w:pStyle w:val="DefHead"/>
      <w:suff w:val="nothing"/>
      <w:lvlText w:val=""/>
      <w:lvlJc w:val="left"/>
      <w:pPr>
        <w:ind w:left="0" w:firstLine="0"/>
      </w:pPr>
    </w:lvl>
    <w:lvl w:ilvl="1">
      <w:start w:val="1"/>
      <w:numFmt w:val="lowerLetter"/>
      <w:pStyle w:val="DefL1"/>
      <w:lvlText w:val="(%2)"/>
      <w:lvlJc w:val="left"/>
      <w:pPr>
        <w:ind w:left="720" w:hanging="720"/>
      </w:pPr>
    </w:lvl>
    <w:lvl w:ilvl="2">
      <w:start w:val="1"/>
      <w:numFmt w:val="lowerLetter"/>
      <w:pStyle w:val="DefL2"/>
      <w:lvlText w:val="(%3)"/>
      <w:lvlJc w:val="left"/>
      <w:pPr>
        <w:ind w:left="1440" w:hanging="720"/>
      </w:pPr>
    </w:lvl>
    <w:lvl w:ilvl="3">
      <w:start w:val="1"/>
      <w:numFmt w:val="lowerRoman"/>
      <w:pStyle w:val="DefL3"/>
      <w:lvlText w:val="(%4)"/>
      <w:lvlJc w:val="left"/>
      <w:pPr>
        <w:ind w:left="1440" w:hanging="720"/>
      </w:pPr>
    </w:lvl>
    <w:lvl w:ilvl="4">
      <w:start w:val="1"/>
      <w:numFmt w:val="lowerRoman"/>
      <w:pStyle w:val="DefL4"/>
      <w:lvlText w:val="(%5)"/>
      <w:lvlJc w:val="left"/>
      <w:pPr>
        <w:ind w:left="2160" w:hanging="720"/>
      </w:pPr>
    </w:lvl>
    <w:lvl w:ilvl="5">
      <w:start w:val="1"/>
      <w:numFmt w:val="upperLetter"/>
      <w:pStyle w:val="DefL5"/>
      <w:lvlText w:val="(%6)"/>
      <w:lvlJc w:val="left"/>
      <w:pPr>
        <w:ind w:left="2160" w:hanging="720"/>
      </w:pPr>
    </w:lvl>
    <w:lvl w:ilvl="6">
      <w:start w:val="1"/>
      <w:numFmt w:val="upperLetter"/>
      <w:pStyle w:val="DefL6"/>
      <w:lvlText w:val="(%7)"/>
      <w:lvlJc w:val="left"/>
      <w:pPr>
        <w:ind w:left="2880" w:hanging="720"/>
      </w:pPr>
    </w:lvl>
    <w:lvl w:ilvl="7">
      <w:start w:val="1"/>
      <w:numFmt w:val="upperRoman"/>
      <w:pStyle w:val="DefL7"/>
      <w:lvlText w:val="(%8)"/>
      <w:lvlJc w:val="left"/>
      <w:pPr>
        <w:ind w:left="2880" w:hanging="720"/>
      </w:pPr>
    </w:lvl>
    <w:lvl w:ilvl="8">
      <w:start w:val="1"/>
      <w:numFmt w:val="decimal"/>
      <w:pStyle w:val="DefL8"/>
      <w:lvlText w:val="(%9)"/>
      <w:lvlJc w:val="left"/>
      <w:pPr>
        <w:ind w:left="3600" w:hanging="720"/>
      </w:pPr>
    </w:lvl>
  </w:abstractNum>
  <w:abstractNum w:abstractNumId="32" w15:restartNumberingAfterBreak="0">
    <w:nsid w:val="6AA227D0"/>
    <w:multiLevelType w:val="multilevel"/>
    <w:tmpl w:val="8D7090B4"/>
    <w:name w:val="AOTOC89"/>
    <w:lvl w:ilvl="0">
      <w:start w:val="1"/>
      <w:numFmt w:val="decimal"/>
      <w:lvlRestart w:val="0"/>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6B1970CA"/>
    <w:multiLevelType w:val="multilevel"/>
    <w:tmpl w:val="D28E1960"/>
    <w:name w:val="Partiess"/>
    <w:lvl w:ilvl="0">
      <w:start w:val="1"/>
      <w:numFmt w:val="upperLetter"/>
      <w:pStyle w:val="Parties"/>
      <w:lvlText w:val="(%1)"/>
      <w:lvlJc w:val="left"/>
      <w:pPr>
        <w:ind w:left="720" w:hanging="72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4" w15:restartNumberingAfterBreak="0">
    <w:nsid w:val="6D8E1F75"/>
    <w:multiLevelType w:val="multilevel"/>
    <w:tmpl w:val="F362804C"/>
    <w:name w:val="ClientNum2"/>
    <w:lvl w:ilvl="0">
      <w:start w:val="1"/>
      <w:numFmt w:val="none"/>
      <w:lvlRestart w:val="0"/>
      <w:pStyle w:val="Num2L1"/>
      <w:suff w:val="nothing"/>
      <w:lvlText w:val=""/>
      <w:lvlJc w:val="left"/>
      <w:pPr>
        <w:ind w:left="0" w:firstLine="0"/>
      </w:pPr>
    </w:lvl>
    <w:lvl w:ilvl="1">
      <w:start w:val="1"/>
      <w:numFmt w:val="lowerLetter"/>
      <w:lvlText w:val="(%2)"/>
      <w:lvlJc w:val="left"/>
      <w:pPr>
        <w:ind w:left="720" w:hanging="720"/>
      </w:pPr>
    </w:lvl>
    <w:lvl w:ilvl="2">
      <w:start w:val="1"/>
      <w:numFmt w:val="lowerLetter"/>
      <w:lvlText w:val="(%3)"/>
      <w:lvlJc w:val="left"/>
      <w:pPr>
        <w:ind w:left="1440" w:hanging="720"/>
      </w:pPr>
    </w:lvl>
    <w:lvl w:ilvl="3">
      <w:start w:val="1"/>
      <w:numFmt w:val="lowerRoman"/>
      <w:lvlText w:val="(%4)"/>
      <w:lvlJc w:val="left"/>
      <w:pPr>
        <w:ind w:left="1440" w:hanging="720"/>
      </w:pPr>
    </w:lvl>
    <w:lvl w:ilvl="4">
      <w:start w:val="1"/>
      <w:numFmt w:val="lowerRoman"/>
      <w:lvlText w:val="(%5)"/>
      <w:lvlJc w:val="left"/>
      <w:pPr>
        <w:ind w:left="2160" w:hanging="720"/>
      </w:pPr>
    </w:lvl>
    <w:lvl w:ilvl="5">
      <w:start w:val="1"/>
      <w:numFmt w:val="upperLetter"/>
      <w:lvlText w:val="(%6)"/>
      <w:lvlJc w:val="left"/>
      <w:pPr>
        <w:ind w:left="2160" w:hanging="720"/>
      </w:pPr>
    </w:lvl>
    <w:lvl w:ilvl="6">
      <w:start w:val="1"/>
      <w:numFmt w:val="upperLetter"/>
      <w:lvlText w:val="(%7)"/>
      <w:lvlJc w:val="left"/>
      <w:pPr>
        <w:ind w:left="2880" w:hanging="720"/>
      </w:pPr>
    </w:lvl>
    <w:lvl w:ilvl="7">
      <w:start w:val="1"/>
      <w:numFmt w:val="upperRoman"/>
      <w:lvlText w:val="(%8)"/>
      <w:lvlJc w:val="left"/>
      <w:pPr>
        <w:ind w:left="2880" w:hanging="720"/>
      </w:pPr>
    </w:lvl>
    <w:lvl w:ilvl="8">
      <w:start w:val="1"/>
      <w:numFmt w:val="decimal"/>
      <w:lvlText w:val="(%9)"/>
      <w:lvlJc w:val="left"/>
      <w:pPr>
        <w:ind w:left="3600" w:hanging="720"/>
      </w:pPr>
    </w:lvl>
  </w:abstractNum>
  <w:abstractNum w:abstractNumId="35" w15:restartNumberingAfterBreak="0">
    <w:nsid w:val="6F025FAA"/>
    <w:multiLevelType w:val="multilevel"/>
    <w:tmpl w:val="81C0040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36" w15:restartNumberingAfterBreak="0">
    <w:nsid w:val="6F8D3D7A"/>
    <w:multiLevelType w:val="singleLevel"/>
    <w:tmpl w:val="6B6C89F2"/>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37" w15:restartNumberingAfterBreak="0">
    <w:nsid w:val="71AB6AF0"/>
    <w:multiLevelType w:val="multilevel"/>
    <w:tmpl w:val="06E6E80A"/>
    <w:lvl w:ilvl="0">
      <w:start w:val="1"/>
      <w:numFmt w:val="upperRoman"/>
      <w:lvlText w:val="%1."/>
      <w:lvlJc w:val="left"/>
      <w:pPr>
        <w:ind w:left="1080" w:hanging="720"/>
      </w:pPr>
      <w:rPr>
        <w:rFonts w:hint="default"/>
        <w:sz w:val="22"/>
        <w:szCs w:val="22"/>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pStyle w:val="Styl3"/>
      <w:isLgl/>
      <w:lvlText w:val="%1.%2.%3.%4"/>
      <w:lvlJc w:val="left"/>
      <w:pPr>
        <w:ind w:left="1080" w:hanging="720"/>
      </w:pPr>
      <w:rPr>
        <w:rFonts w:hint="default"/>
        <w:b w:val="0"/>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61544F7"/>
    <w:multiLevelType w:val="multilevel"/>
    <w:tmpl w:val="57468C52"/>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9" w15:restartNumberingAfterBreak="0">
    <w:nsid w:val="77CE7624"/>
    <w:multiLevelType w:val="multilevel"/>
    <w:tmpl w:val="AB1E4264"/>
    <w:lvl w:ilvl="0">
      <w:start w:val="1"/>
      <w:numFmt w:val="upperLetter"/>
      <w:pStyle w:val="Parties1"/>
      <w:lvlText w:val="(%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4"/>
  </w:num>
  <w:num w:numId="2">
    <w:abstractNumId w:val="23"/>
  </w:num>
  <w:num w:numId="3">
    <w:abstractNumId w:val="30"/>
  </w:num>
  <w:num w:numId="4">
    <w:abstractNumId w:val="38"/>
  </w:num>
  <w:num w:numId="5">
    <w:abstractNumId w:val="17"/>
  </w:num>
  <w:num w:numId="6">
    <w:abstractNumId w:val="21"/>
  </w:num>
  <w:num w:numId="7">
    <w:abstractNumId w:val="35"/>
  </w:num>
  <w:num w:numId="8">
    <w:abstractNumId w:val="1"/>
  </w:num>
  <w:num w:numId="9">
    <w:abstractNumId w:val="22"/>
  </w:num>
  <w:num w:numId="10">
    <w:abstractNumId w:val="16"/>
  </w:num>
  <w:num w:numId="11">
    <w:abstractNumId w:val="11"/>
  </w:num>
  <w:num w:numId="12">
    <w:abstractNumId w:val="7"/>
  </w:num>
  <w:num w:numId="13">
    <w:abstractNumId w:val="36"/>
  </w:num>
  <w:num w:numId="14">
    <w:abstractNumId w:val="18"/>
  </w:num>
  <w:num w:numId="15">
    <w:abstractNumId w:val="26"/>
  </w:num>
  <w:num w:numId="16">
    <w:abstractNumId w:val="15"/>
  </w:num>
  <w:num w:numId="17">
    <w:abstractNumId w:val="32"/>
  </w:num>
  <w:num w:numId="18">
    <w:abstractNumId w:val="3"/>
  </w:num>
  <w:num w:numId="19">
    <w:abstractNumId w:val="1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0"/>
  </w:num>
  <w:num w:numId="23">
    <w:abstractNumId w:val="1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3"/>
  </w:num>
  <w:num w:numId="27">
    <w:abstractNumId w:val="29"/>
  </w:num>
  <w:num w:numId="28">
    <w:abstractNumId w:val="9"/>
  </w:num>
  <w:num w:numId="29">
    <w:abstractNumId w:val="0"/>
  </w:num>
  <w:num w:numId="30">
    <w:abstractNumId w:val="12"/>
  </w:num>
  <w:num w:numId="31">
    <w:abstractNumId w:val="19"/>
  </w:num>
  <w:num w:numId="32">
    <w:abstractNumId w:val="28"/>
  </w:num>
  <w:num w:numId="33">
    <w:abstractNumId w:val="34"/>
  </w:num>
  <w:num w:numId="34">
    <w:abstractNumId w:val="31"/>
  </w:num>
  <w:num w:numId="35">
    <w:abstractNumId w:val="6"/>
  </w:num>
  <w:num w:numId="36">
    <w:abstractNumId w:val="2"/>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5"/>
  </w:num>
  <w:num w:numId="40">
    <w:abstractNumId w:val="27"/>
  </w:num>
  <w:num w:numId="41">
    <w:abstractNumId w:val="39"/>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4"/>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A7"/>
    <w:rsid w:val="000223E1"/>
    <w:rsid w:val="00035DF9"/>
    <w:rsid w:val="000520A8"/>
    <w:rsid w:val="00076610"/>
    <w:rsid w:val="00083181"/>
    <w:rsid w:val="000865B8"/>
    <w:rsid w:val="000926C9"/>
    <w:rsid w:val="000D0702"/>
    <w:rsid w:val="00107626"/>
    <w:rsid w:val="001114C6"/>
    <w:rsid w:val="00111788"/>
    <w:rsid w:val="001241D8"/>
    <w:rsid w:val="00171474"/>
    <w:rsid w:val="0017422B"/>
    <w:rsid w:val="001837F3"/>
    <w:rsid w:val="001A0D0C"/>
    <w:rsid w:val="001B0BCE"/>
    <w:rsid w:val="001C143F"/>
    <w:rsid w:val="001E7139"/>
    <w:rsid w:val="001E79DF"/>
    <w:rsid w:val="001F10C1"/>
    <w:rsid w:val="001F66DC"/>
    <w:rsid w:val="0020166E"/>
    <w:rsid w:val="00207F8C"/>
    <w:rsid w:val="002271C4"/>
    <w:rsid w:val="002404E5"/>
    <w:rsid w:val="002431A6"/>
    <w:rsid w:val="00244F4C"/>
    <w:rsid w:val="00251D49"/>
    <w:rsid w:val="00265DE0"/>
    <w:rsid w:val="0027495C"/>
    <w:rsid w:val="002A01D2"/>
    <w:rsid w:val="002A2FEA"/>
    <w:rsid w:val="002D1ED7"/>
    <w:rsid w:val="002E0DDE"/>
    <w:rsid w:val="002F2BFA"/>
    <w:rsid w:val="00334D3D"/>
    <w:rsid w:val="00334F07"/>
    <w:rsid w:val="00375A6D"/>
    <w:rsid w:val="003813A3"/>
    <w:rsid w:val="00394F7A"/>
    <w:rsid w:val="003A0E9E"/>
    <w:rsid w:val="003B4B11"/>
    <w:rsid w:val="003C35CF"/>
    <w:rsid w:val="004147F8"/>
    <w:rsid w:val="00432A6C"/>
    <w:rsid w:val="00440C96"/>
    <w:rsid w:val="0045386B"/>
    <w:rsid w:val="0045533C"/>
    <w:rsid w:val="00463113"/>
    <w:rsid w:val="0047162F"/>
    <w:rsid w:val="004A2846"/>
    <w:rsid w:val="004A6489"/>
    <w:rsid w:val="004B26CD"/>
    <w:rsid w:val="004B39A3"/>
    <w:rsid w:val="004C587E"/>
    <w:rsid w:val="004E0793"/>
    <w:rsid w:val="005247D0"/>
    <w:rsid w:val="00532CE4"/>
    <w:rsid w:val="00545817"/>
    <w:rsid w:val="00584DC4"/>
    <w:rsid w:val="005A7AC8"/>
    <w:rsid w:val="005C2782"/>
    <w:rsid w:val="005C595A"/>
    <w:rsid w:val="005D16AE"/>
    <w:rsid w:val="005D5CB3"/>
    <w:rsid w:val="005E15A9"/>
    <w:rsid w:val="005E5E8C"/>
    <w:rsid w:val="00616781"/>
    <w:rsid w:val="00624BE1"/>
    <w:rsid w:val="00630AD0"/>
    <w:rsid w:val="00677B84"/>
    <w:rsid w:val="0068599B"/>
    <w:rsid w:val="006A5AA0"/>
    <w:rsid w:val="006C1F14"/>
    <w:rsid w:val="006C6D54"/>
    <w:rsid w:val="006F4DD9"/>
    <w:rsid w:val="007225C1"/>
    <w:rsid w:val="00723DD2"/>
    <w:rsid w:val="00730573"/>
    <w:rsid w:val="00757DDB"/>
    <w:rsid w:val="00777DFC"/>
    <w:rsid w:val="007C63AF"/>
    <w:rsid w:val="007D75EC"/>
    <w:rsid w:val="007F2535"/>
    <w:rsid w:val="0080543B"/>
    <w:rsid w:val="00810F73"/>
    <w:rsid w:val="00813D2E"/>
    <w:rsid w:val="00815059"/>
    <w:rsid w:val="00822A1E"/>
    <w:rsid w:val="008579D9"/>
    <w:rsid w:val="008C14D4"/>
    <w:rsid w:val="008E0A09"/>
    <w:rsid w:val="008F68D8"/>
    <w:rsid w:val="00900F4B"/>
    <w:rsid w:val="00920631"/>
    <w:rsid w:val="00960F52"/>
    <w:rsid w:val="00967C82"/>
    <w:rsid w:val="009819C0"/>
    <w:rsid w:val="00991FA1"/>
    <w:rsid w:val="009A2F72"/>
    <w:rsid w:val="009A4BDE"/>
    <w:rsid w:val="009B6EEC"/>
    <w:rsid w:val="009D20EB"/>
    <w:rsid w:val="009E0C49"/>
    <w:rsid w:val="009F39E4"/>
    <w:rsid w:val="00A279B2"/>
    <w:rsid w:val="00A607B2"/>
    <w:rsid w:val="00A76A73"/>
    <w:rsid w:val="00A910FA"/>
    <w:rsid w:val="00AA4393"/>
    <w:rsid w:val="00AA44B0"/>
    <w:rsid w:val="00AB0395"/>
    <w:rsid w:val="00AD0F49"/>
    <w:rsid w:val="00AE4B2D"/>
    <w:rsid w:val="00AE6CB5"/>
    <w:rsid w:val="00B1321E"/>
    <w:rsid w:val="00B15851"/>
    <w:rsid w:val="00B26B16"/>
    <w:rsid w:val="00B90CA0"/>
    <w:rsid w:val="00BA5412"/>
    <w:rsid w:val="00BA6B05"/>
    <w:rsid w:val="00BB07C3"/>
    <w:rsid w:val="00BB7754"/>
    <w:rsid w:val="00BC0964"/>
    <w:rsid w:val="00BD1D5C"/>
    <w:rsid w:val="00BE2502"/>
    <w:rsid w:val="00BF1C21"/>
    <w:rsid w:val="00BF2C07"/>
    <w:rsid w:val="00C2524B"/>
    <w:rsid w:val="00C27C6D"/>
    <w:rsid w:val="00C46506"/>
    <w:rsid w:val="00C76B0C"/>
    <w:rsid w:val="00C77824"/>
    <w:rsid w:val="00CA2C1F"/>
    <w:rsid w:val="00CA6867"/>
    <w:rsid w:val="00CC0146"/>
    <w:rsid w:val="00CC19DE"/>
    <w:rsid w:val="00D03DDB"/>
    <w:rsid w:val="00D06E6E"/>
    <w:rsid w:val="00D1734D"/>
    <w:rsid w:val="00D276BE"/>
    <w:rsid w:val="00D44840"/>
    <w:rsid w:val="00D51E46"/>
    <w:rsid w:val="00D60A12"/>
    <w:rsid w:val="00D61FAD"/>
    <w:rsid w:val="00D836DC"/>
    <w:rsid w:val="00D83BF3"/>
    <w:rsid w:val="00DB2373"/>
    <w:rsid w:val="00DC29AB"/>
    <w:rsid w:val="00E024CC"/>
    <w:rsid w:val="00E05622"/>
    <w:rsid w:val="00E17B23"/>
    <w:rsid w:val="00E20584"/>
    <w:rsid w:val="00E30C20"/>
    <w:rsid w:val="00E72D84"/>
    <w:rsid w:val="00E72E13"/>
    <w:rsid w:val="00E81B74"/>
    <w:rsid w:val="00E8576B"/>
    <w:rsid w:val="00E904EB"/>
    <w:rsid w:val="00E9172D"/>
    <w:rsid w:val="00EA5A2B"/>
    <w:rsid w:val="00EA6930"/>
    <w:rsid w:val="00EB29A2"/>
    <w:rsid w:val="00EB4508"/>
    <w:rsid w:val="00ED1E76"/>
    <w:rsid w:val="00EE2005"/>
    <w:rsid w:val="00EF1683"/>
    <w:rsid w:val="00F01CD0"/>
    <w:rsid w:val="00F53B14"/>
    <w:rsid w:val="00F553A4"/>
    <w:rsid w:val="00F572F7"/>
    <w:rsid w:val="00F647A7"/>
    <w:rsid w:val="00F70721"/>
    <w:rsid w:val="00F70A48"/>
    <w:rsid w:val="00F93ECA"/>
    <w:rsid w:val="00FC1DF2"/>
    <w:rsid w:val="00FC58D1"/>
    <w:rsid w:val="00FD4C5E"/>
    <w:rsid w:val="00FD65CF"/>
    <w:rsid w:val="00FE1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827F52"/>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146"/>
    <w:pPr>
      <w:spacing w:line="240" w:lineRule="auto"/>
    </w:pPr>
    <w:rPr>
      <w:rFonts w:ascii="F015TEE" w:eastAsia="Times New Roman" w:hAnsi="F015TEE" w:cs="Times New Roman"/>
      <w:sz w:val="20"/>
      <w:szCs w:val="20"/>
      <w:lang w:val="cs-CZ" w:eastAsia="cs-CZ"/>
    </w:rPr>
  </w:style>
  <w:style w:type="paragraph" w:styleId="Heading1">
    <w:name w:val="heading 1"/>
    <w:basedOn w:val="AOHeadings"/>
    <w:next w:val="AODocTxt"/>
    <w:link w:val="Heading1Char"/>
    <w:uiPriority w:val="9"/>
    <w:qFormat/>
    <w:rsid w:val="001E7139"/>
    <w:pPr>
      <w:keepNext/>
      <w:outlineLvl w:val="0"/>
    </w:pPr>
    <w:rPr>
      <w:rFonts w:eastAsia="Times New Roman"/>
      <w:b/>
      <w:bCs/>
      <w:caps/>
      <w:szCs w:val="28"/>
    </w:rPr>
  </w:style>
  <w:style w:type="paragraph" w:styleId="Heading2">
    <w:name w:val="heading 2"/>
    <w:basedOn w:val="AOHeadings"/>
    <w:next w:val="AODocTxt"/>
    <w:link w:val="Heading2Char"/>
    <w:uiPriority w:val="9"/>
    <w:unhideWhenUsed/>
    <w:qFormat/>
    <w:rsid w:val="001E7139"/>
    <w:pPr>
      <w:keepNext/>
      <w:outlineLvl w:val="1"/>
    </w:pPr>
    <w:rPr>
      <w:rFonts w:eastAsia="Times New Roman"/>
      <w:b/>
      <w:bCs/>
      <w:szCs w:val="26"/>
    </w:rPr>
  </w:style>
  <w:style w:type="paragraph" w:styleId="Heading3">
    <w:name w:val="heading 3"/>
    <w:basedOn w:val="AOHeadings"/>
    <w:next w:val="AODocTxt"/>
    <w:link w:val="Heading3Char"/>
    <w:uiPriority w:val="9"/>
    <w:unhideWhenUsed/>
    <w:qFormat/>
    <w:rsid w:val="001E7139"/>
    <w:pPr>
      <w:outlineLvl w:val="2"/>
    </w:pPr>
    <w:rPr>
      <w:rFonts w:eastAsia="Times New Roman"/>
      <w:bCs/>
    </w:rPr>
  </w:style>
  <w:style w:type="paragraph" w:styleId="Heading4">
    <w:name w:val="heading 4"/>
    <w:basedOn w:val="AOHeadings"/>
    <w:next w:val="AODocTxt"/>
    <w:link w:val="Heading4Char"/>
    <w:uiPriority w:val="9"/>
    <w:unhideWhenUsed/>
    <w:qFormat/>
    <w:rsid w:val="001E7139"/>
    <w:pPr>
      <w:outlineLvl w:val="3"/>
    </w:pPr>
    <w:rPr>
      <w:rFonts w:eastAsia="Times New Roman"/>
      <w:bCs/>
      <w:iCs/>
    </w:rPr>
  </w:style>
  <w:style w:type="paragraph" w:styleId="Heading5">
    <w:name w:val="heading 5"/>
    <w:basedOn w:val="AOHeadings"/>
    <w:next w:val="AODocTxt"/>
    <w:link w:val="Heading5Char"/>
    <w:uiPriority w:val="9"/>
    <w:unhideWhenUsed/>
    <w:qFormat/>
    <w:rsid w:val="001E7139"/>
    <w:pPr>
      <w:outlineLvl w:val="4"/>
    </w:pPr>
    <w:rPr>
      <w:rFonts w:eastAsia="Times New Roman"/>
    </w:rPr>
  </w:style>
  <w:style w:type="paragraph" w:styleId="Heading6">
    <w:name w:val="heading 6"/>
    <w:basedOn w:val="AOHeadings"/>
    <w:next w:val="AODocTxt"/>
    <w:link w:val="Heading6Char"/>
    <w:uiPriority w:val="9"/>
    <w:unhideWhenUsed/>
    <w:qFormat/>
    <w:rsid w:val="001E7139"/>
    <w:pPr>
      <w:outlineLvl w:val="5"/>
    </w:pPr>
    <w:rPr>
      <w:rFonts w:eastAsia="Times New Roman"/>
      <w:iCs/>
    </w:rPr>
  </w:style>
  <w:style w:type="paragraph" w:styleId="Heading7">
    <w:name w:val="heading 7"/>
    <w:basedOn w:val="AOHeadings"/>
    <w:next w:val="AODocTxt"/>
    <w:link w:val="Heading7Char"/>
    <w:uiPriority w:val="9"/>
    <w:unhideWhenUsed/>
    <w:qFormat/>
    <w:rsid w:val="001E7139"/>
    <w:pPr>
      <w:outlineLvl w:val="6"/>
    </w:pPr>
    <w:rPr>
      <w:rFonts w:eastAsia="Times New Roman"/>
      <w:iCs/>
    </w:rPr>
  </w:style>
  <w:style w:type="paragraph" w:styleId="Heading8">
    <w:name w:val="heading 8"/>
    <w:basedOn w:val="AOHeadings"/>
    <w:next w:val="AODocTxt"/>
    <w:link w:val="Heading8Char"/>
    <w:uiPriority w:val="9"/>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lang w:val="cs-CZ"/>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link w:val="AODocTxtChar"/>
    <w:qFormat/>
    <w:rsid w:val="001E7139"/>
  </w:style>
  <w:style w:type="paragraph" w:customStyle="1" w:styleId="AODocTxtL1">
    <w:name w:val="AODocTxtL1"/>
    <w:basedOn w:val="AODocTxt"/>
    <w:link w:val="AODocTxtL1Char"/>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rsid w:val="001E7139"/>
    <w:pPr>
      <w:tabs>
        <w:tab w:val="center" w:pos="4150"/>
        <w:tab w:val="right" w:pos="8306"/>
      </w:tabs>
    </w:pPr>
  </w:style>
  <w:style w:type="character" w:customStyle="1" w:styleId="HeaderChar">
    <w:name w:val="Header Char"/>
    <w:basedOn w:val="DefaultParagraphFont"/>
    <w:link w:val="Header"/>
    <w:uiPriority w:val="99"/>
    <w:rsid w:val="00107626"/>
    <w:rPr>
      <w:rFonts w:cs="Times New Roman"/>
      <w:lang w:val="cs-CZ"/>
    </w:rPr>
  </w:style>
  <w:style w:type="paragraph" w:styleId="Footer">
    <w:name w:val="footer"/>
    <w:basedOn w:val="Normal"/>
    <w:link w:val="FooterChar"/>
    <w:uiPriority w:val="99"/>
    <w:rsid w:val="001E7139"/>
    <w:pPr>
      <w:tabs>
        <w:tab w:val="center" w:pos="4150"/>
        <w:tab w:val="right" w:pos="8306"/>
      </w:tabs>
    </w:pPr>
  </w:style>
  <w:style w:type="character" w:customStyle="1" w:styleId="FooterChar">
    <w:name w:val="Footer Char"/>
    <w:basedOn w:val="DefaultParagraphFont"/>
    <w:link w:val="Footer"/>
    <w:uiPriority w:val="99"/>
    <w:rsid w:val="00107626"/>
    <w:rPr>
      <w:rFonts w:cs="Times New Roman"/>
      <w:lang w:val="cs-CZ"/>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rsid w:val="001E7139"/>
    <w:pPr>
      <w:tabs>
        <w:tab w:val="left" w:pos="1797"/>
      </w:tabs>
      <w:ind w:left="1797" w:right="720" w:hanging="1077"/>
    </w:pPr>
  </w:style>
  <w:style w:type="paragraph" w:styleId="TOC3">
    <w:name w:val="toc 3"/>
    <w:basedOn w:val="AOTOCs"/>
    <w:next w:val="AONormal"/>
    <w:autoRedefine/>
    <w:uiPriority w:val="39"/>
    <w:rsid w:val="001E7139"/>
    <w:pPr>
      <w:numPr>
        <w:numId w:val="15"/>
      </w:numPr>
      <w:ind w:right="720"/>
    </w:pPr>
  </w:style>
  <w:style w:type="paragraph" w:styleId="TOC4">
    <w:name w:val="toc 4"/>
    <w:basedOn w:val="AOTOCs"/>
    <w:next w:val="AONormal"/>
    <w:autoRedefine/>
    <w:uiPriority w:val="39"/>
    <w:rsid w:val="001E7139"/>
    <w:pPr>
      <w:numPr>
        <w:ilvl w:val="1"/>
        <w:numId w:val="15"/>
      </w:numPr>
      <w:tabs>
        <w:tab w:val="left" w:pos="1797"/>
      </w:tabs>
      <w:ind w:right="720"/>
    </w:pPr>
  </w:style>
  <w:style w:type="paragraph" w:styleId="TOC5">
    <w:name w:val="toc 5"/>
    <w:basedOn w:val="AOTOCs"/>
    <w:next w:val="AONormal"/>
    <w:autoRedefine/>
    <w:uiPriority w:val="39"/>
    <w:rsid w:val="001E7139"/>
    <w:pPr>
      <w:spacing w:before="240"/>
    </w:pPr>
  </w:style>
  <w:style w:type="paragraph" w:styleId="TOC6">
    <w:name w:val="toc 6"/>
    <w:basedOn w:val="AOTOCs"/>
    <w:next w:val="AONormal"/>
    <w:autoRedefine/>
    <w:uiPriority w:val="39"/>
    <w:rsid w:val="001E7139"/>
    <w:pPr>
      <w:numPr>
        <w:numId w:val="16"/>
      </w:numPr>
      <w:ind w:right="720"/>
    </w:pPr>
  </w:style>
  <w:style w:type="paragraph" w:styleId="TOC7">
    <w:name w:val="toc 7"/>
    <w:basedOn w:val="AOTOCs"/>
    <w:next w:val="AONormal"/>
    <w:autoRedefine/>
    <w:uiPriority w:val="39"/>
    <w:rsid w:val="001E7139"/>
    <w:pPr>
      <w:numPr>
        <w:ilvl w:val="1"/>
        <w:numId w:val="16"/>
      </w:numPr>
      <w:tabs>
        <w:tab w:val="left" w:pos="1797"/>
      </w:tabs>
      <w:ind w:right="720"/>
    </w:pPr>
  </w:style>
  <w:style w:type="paragraph" w:styleId="TOC8">
    <w:name w:val="toc 8"/>
    <w:basedOn w:val="AOTOCs"/>
    <w:next w:val="AONormal"/>
    <w:autoRedefine/>
    <w:uiPriority w:val="39"/>
    <w:rsid w:val="001E7139"/>
    <w:pPr>
      <w:numPr>
        <w:numId w:val="17"/>
      </w:numPr>
      <w:ind w:right="720"/>
    </w:pPr>
  </w:style>
  <w:style w:type="paragraph" w:styleId="TOC9">
    <w:name w:val="toc 9"/>
    <w:basedOn w:val="AOTOCs"/>
    <w:next w:val="AONormal"/>
    <w:autoRedefine/>
    <w:uiPriority w:val="39"/>
    <w:rsid w:val="001E7139"/>
    <w:pPr>
      <w:numPr>
        <w:ilvl w:val="1"/>
        <w:numId w:val="17"/>
      </w:numPr>
      <w:tabs>
        <w:tab w:val="left" w:pos="1797"/>
      </w:tabs>
      <w:ind w:right="720"/>
    </w:pPr>
  </w:style>
  <w:style w:type="paragraph" w:styleId="FootnoteText">
    <w:name w:val="footnote text"/>
    <w:aliases w:val="Car"/>
    <w:basedOn w:val="AONormal"/>
    <w:link w:val="FootnoteTextChar"/>
    <w:uiPriority w:val="99"/>
    <w:qFormat/>
    <w:rsid w:val="001E7139"/>
    <w:pPr>
      <w:spacing w:line="240" w:lineRule="auto"/>
      <w:ind w:left="720" w:hanging="720"/>
      <w:jc w:val="both"/>
    </w:pPr>
    <w:rPr>
      <w:sz w:val="16"/>
      <w:szCs w:val="20"/>
    </w:rPr>
  </w:style>
  <w:style w:type="character" w:customStyle="1" w:styleId="FootnoteTextChar">
    <w:name w:val="Footnote Text Char"/>
    <w:aliases w:val="Car Char"/>
    <w:basedOn w:val="DefaultParagraphFont"/>
    <w:link w:val="FootnoteText"/>
    <w:uiPriority w:val="99"/>
    <w:rsid w:val="00107626"/>
    <w:rPr>
      <w:rFonts w:cs="Times New Roman"/>
      <w:sz w:val="16"/>
      <w:szCs w:val="20"/>
      <w:lang w:val="cs-CZ"/>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rsid w:val="001E7139"/>
    <w:pPr>
      <w:spacing w:line="240" w:lineRule="auto"/>
    </w:pPr>
    <w:rPr>
      <w:sz w:val="16"/>
      <w:szCs w:val="20"/>
    </w:rPr>
  </w:style>
  <w:style w:type="character" w:customStyle="1" w:styleId="CommentTextChar">
    <w:name w:val="Comment Text Char"/>
    <w:basedOn w:val="DefaultParagraphFont"/>
    <w:link w:val="CommentText"/>
    <w:uiPriority w:val="99"/>
    <w:rsid w:val="00107626"/>
    <w:rPr>
      <w:rFonts w:cs="Times New Roman"/>
      <w:sz w:val="16"/>
      <w:szCs w:val="20"/>
      <w:lang w:val="cs-CZ"/>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cs-CZ"/>
    </w:rPr>
  </w:style>
  <w:style w:type="character" w:customStyle="1" w:styleId="Heading1Char">
    <w:name w:val="Heading 1 Char"/>
    <w:basedOn w:val="DefaultParagraphFont"/>
    <w:link w:val="Heading1"/>
    <w:uiPriority w:val="9"/>
    <w:rsid w:val="001E7139"/>
    <w:rPr>
      <w:rFonts w:eastAsia="Times New Roman" w:cs="Times New Roman"/>
      <w:b/>
      <w:bCs/>
      <w:caps/>
      <w:szCs w:val="28"/>
      <w:lang w:val="cs-CZ"/>
    </w:rPr>
  </w:style>
  <w:style w:type="character" w:customStyle="1" w:styleId="Heading2Char">
    <w:name w:val="Heading 2 Char"/>
    <w:basedOn w:val="DefaultParagraphFont"/>
    <w:link w:val="Heading2"/>
    <w:uiPriority w:val="9"/>
    <w:rsid w:val="001E7139"/>
    <w:rPr>
      <w:rFonts w:eastAsia="Times New Roman" w:cs="Times New Roman"/>
      <w:b/>
      <w:bCs/>
      <w:szCs w:val="26"/>
      <w:lang w:val="cs-CZ"/>
    </w:rPr>
  </w:style>
  <w:style w:type="character" w:customStyle="1" w:styleId="Heading3Char">
    <w:name w:val="Heading 3 Char"/>
    <w:basedOn w:val="DefaultParagraphFont"/>
    <w:link w:val="Heading3"/>
    <w:uiPriority w:val="9"/>
    <w:rsid w:val="001E7139"/>
    <w:rPr>
      <w:rFonts w:eastAsia="Times New Roman" w:cs="Times New Roman"/>
      <w:bCs/>
      <w:lang w:val="cs-CZ"/>
    </w:rPr>
  </w:style>
  <w:style w:type="character" w:customStyle="1" w:styleId="Heading4Char">
    <w:name w:val="Heading 4 Char"/>
    <w:basedOn w:val="DefaultParagraphFont"/>
    <w:link w:val="Heading4"/>
    <w:uiPriority w:val="9"/>
    <w:rsid w:val="001E7139"/>
    <w:rPr>
      <w:rFonts w:eastAsia="Times New Roman" w:cs="Times New Roman"/>
      <w:bCs/>
      <w:iCs/>
      <w:lang w:val="cs-CZ"/>
    </w:rPr>
  </w:style>
  <w:style w:type="character" w:customStyle="1" w:styleId="Heading5Char">
    <w:name w:val="Heading 5 Char"/>
    <w:basedOn w:val="DefaultParagraphFont"/>
    <w:link w:val="Heading5"/>
    <w:uiPriority w:val="9"/>
    <w:rsid w:val="001E7139"/>
    <w:rPr>
      <w:rFonts w:eastAsia="Times New Roman" w:cs="Times New Roman"/>
      <w:lang w:val="cs-CZ"/>
    </w:rPr>
  </w:style>
  <w:style w:type="character" w:customStyle="1" w:styleId="Heading6Char">
    <w:name w:val="Heading 6 Char"/>
    <w:basedOn w:val="DefaultParagraphFont"/>
    <w:link w:val="Heading6"/>
    <w:uiPriority w:val="9"/>
    <w:rsid w:val="001E7139"/>
    <w:rPr>
      <w:rFonts w:eastAsia="Times New Roman" w:cs="Times New Roman"/>
      <w:iCs/>
      <w:lang w:val="cs-CZ"/>
    </w:rPr>
  </w:style>
  <w:style w:type="character" w:customStyle="1" w:styleId="Heading7Char">
    <w:name w:val="Heading 7 Char"/>
    <w:basedOn w:val="DefaultParagraphFont"/>
    <w:link w:val="Heading7"/>
    <w:uiPriority w:val="9"/>
    <w:rsid w:val="001E7139"/>
    <w:rPr>
      <w:rFonts w:eastAsia="Times New Roman" w:cs="Times New Roman"/>
      <w:iCs/>
      <w:lang w:val="cs-CZ"/>
    </w:rPr>
  </w:style>
  <w:style w:type="character" w:customStyle="1" w:styleId="Heading8Char">
    <w:name w:val="Heading 8 Char"/>
    <w:basedOn w:val="DefaultParagraphFont"/>
    <w:link w:val="Heading8"/>
    <w:uiPriority w:val="9"/>
    <w:rsid w:val="001E7139"/>
    <w:rPr>
      <w:rFonts w:eastAsia="Times New Roman" w:cs="Times New Roman"/>
      <w:szCs w:val="20"/>
      <w:lang w:val="cs-CZ"/>
    </w:rPr>
  </w:style>
  <w:style w:type="character" w:customStyle="1" w:styleId="Heading9Char">
    <w:name w:val="Heading 9 Char"/>
    <w:basedOn w:val="DefaultParagraphFont"/>
    <w:link w:val="Heading9"/>
    <w:uiPriority w:val="9"/>
    <w:rsid w:val="00107626"/>
    <w:rPr>
      <w:rFonts w:eastAsia="Times New Roman" w:cs="Times New Roman"/>
      <w:iCs/>
      <w:szCs w:val="20"/>
      <w:lang w:val="cs-CZ"/>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szCs w:val="24"/>
    </w:rPr>
  </w:style>
  <w:style w:type="paragraph" w:styleId="EnvelopeReturn">
    <w:name w:val="envelope return"/>
    <w:basedOn w:val="Normal"/>
    <w:uiPriority w:val="99"/>
    <w:semiHidden/>
    <w:rsid w:val="001E7139"/>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cs-CZ"/>
    </w:rPr>
  </w:style>
  <w:style w:type="paragraph" w:styleId="BalloonText">
    <w:name w:val="Balloon Text"/>
    <w:basedOn w:val="Normal"/>
    <w:link w:val="BalloonTextChar"/>
    <w:uiPriority w:val="99"/>
    <w:semiHidden/>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cs-CZ"/>
    </w:rPr>
  </w:style>
  <w:style w:type="table" w:styleId="TableGrid">
    <w:name w:val="Table Grid"/>
    <w:basedOn w:val="TableNormal"/>
    <w:uiPriority w:val="3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style>
  <w:style w:type="paragraph" w:styleId="ListNumber">
    <w:name w:val="List Number"/>
    <w:basedOn w:val="Normal"/>
    <w:uiPriority w:val="99"/>
    <w:semiHidden/>
    <w:rsid w:val="002271C4"/>
    <w:pPr>
      <w:tabs>
        <w:tab w:val="num" w:pos="720"/>
      </w:tabs>
      <w:ind w:left="720" w:hanging="720"/>
      <w:contextualSpacing/>
    </w:pPr>
  </w:style>
  <w:style w:type="table" w:customStyle="1" w:styleId="AOHdrFtrTblStyle">
    <w:name w:val="AOHdrFtrTblStyle"/>
    <w:basedOn w:val="TableGrid"/>
    <w:rsid w:val="00815059"/>
    <w:tblPr/>
    <w:tcPr>
      <w:shd w:val="clear" w:color="auto" w:fill="auto"/>
    </w:tcPr>
  </w:style>
  <w:style w:type="paragraph" w:styleId="BodyTextIndent">
    <w:name w:val="Body Text Indent"/>
    <w:basedOn w:val="Normal"/>
    <w:link w:val="BodyTextIndentChar"/>
    <w:uiPriority w:val="99"/>
    <w:semiHidden/>
    <w:unhideWhenUsed/>
    <w:rsid w:val="00B90CA0"/>
    <w:pPr>
      <w:spacing w:after="120"/>
      <w:ind w:left="360"/>
    </w:pPr>
    <w:rPr>
      <w:rFonts w:ascii="Times New Roman" w:eastAsiaTheme="minorHAnsi" w:hAnsi="Times New Roman"/>
      <w:sz w:val="22"/>
      <w:szCs w:val="22"/>
      <w:lang w:val="en-GB" w:eastAsia="en-US"/>
    </w:rPr>
  </w:style>
  <w:style w:type="character" w:customStyle="1" w:styleId="BodyTextIndentChar">
    <w:name w:val="Body Text Indent Char"/>
    <w:basedOn w:val="DefaultParagraphFont"/>
    <w:link w:val="BodyTextIndent"/>
    <w:uiPriority w:val="99"/>
    <w:semiHidden/>
    <w:rsid w:val="00B90CA0"/>
    <w:rPr>
      <w:rFonts w:cs="Times New Roman"/>
    </w:rPr>
  </w:style>
  <w:style w:type="paragraph" w:customStyle="1" w:styleId="ClientNormal">
    <w:name w:val="ClientNormal"/>
    <w:link w:val="ClientNormalChar"/>
    <w:rsid w:val="00B90CA0"/>
    <w:pPr>
      <w:spacing w:line="240" w:lineRule="auto"/>
    </w:pPr>
    <w:rPr>
      <w:rFonts w:cs="Times New Roman"/>
    </w:rPr>
  </w:style>
  <w:style w:type="paragraph" w:customStyle="1" w:styleId="ClientNormal8Lbold">
    <w:name w:val="ClientNormal8Lbold"/>
    <w:rsid w:val="00B90CA0"/>
    <w:pPr>
      <w:spacing w:line="240" w:lineRule="auto"/>
    </w:pPr>
    <w:rPr>
      <w:rFonts w:cs="Times New Roman"/>
      <w:b/>
      <w:sz w:val="16"/>
    </w:rPr>
  </w:style>
  <w:style w:type="paragraph" w:customStyle="1" w:styleId="ClientNormal8L">
    <w:name w:val="ClientNormal8L"/>
    <w:rsid w:val="00B90CA0"/>
    <w:pPr>
      <w:spacing w:line="240" w:lineRule="auto"/>
    </w:pPr>
    <w:rPr>
      <w:rFonts w:cs="Times New Roman"/>
      <w:sz w:val="16"/>
    </w:rPr>
  </w:style>
  <w:style w:type="paragraph" w:customStyle="1" w:styleId="ClientNormal8C">
    <w:name w:val="ClientNormal8C"/>
    <w:rsid w:val="00B90CA0"/>
    <w:pPr>
      <w:spacing w:line="240" w:lineRule="auto"/>
      <w:jc w:val="center"/>
    </w:pPr>
    <w:rPr>
      <w:rFonts w:cs="Times New Roman"/>
      <w:sz w:val="16"/>
    </w:rPr>
  </w:style>
  <w:style w:type="paragraph" w:customStyle="1" w:styleId="ClientNormal8R">
    <w:name w:val="ClientNormal8R"/>
    <w:rsid w:val="00B90CA0"/>
    <w:pPr>
      <w:spacing w:line="240" w:lineRule="auto"/>
      <w:jc w:val="right"/>
    </w:pPr>
    <w:rPr>
      <w:rFonts w:cs="Times New Roman"/>
      <w:sz w:val="16"/>
    </w:rPr>
  </w:style>
  <w:style w:type="paragraph" w:customStyle="1" w:styleId="DocText">
    <w:name w:val="DocText"/>
    <w:basedOn w:val="ClientNormal"/>
    <w:link w:val="DocTextChar"/>
    <w:rsid w:val="00B90CA0"/>
    <w:pPr>
      <w:numPr>
        <w:numId w:val="21"/>
      </w:numPr>
      <w:tabs>
        <w:tab w:val="num" w:pos="720"/>
      </w:tabs>
      <w:spacing w:before="240"/>
      <w:ind w:left="720" w:hanging="720"/>
      <w:jc w:val="both"/>
    </w:pPr>
  </w:style>
  <w:style w:type="paragraph" w:customStyle="1" w:styleId="DocTextL1">
    <w:name w:val="DocTextL1"/>
    <w:basedOn w:val="DocText"/>
    <w:rsid w:val="00B90CA0"/>
    <w:pPr>
      <w:numPr>
        <w:ilvl w:val="1"/>
      </w:numPr>
      <w:tabs>
        <w:tab w:val="num" w:pos="720"/>
      </w:tabs>
      <w:ind w:hanging="720"/>
    </w:pPr>
  </w:style>
  <w:style w:type="paragraph" w:customStyle="1" w:styleId="DocTextL2">
    <w:name w:val="DocTextL2"/>
    <w:basedOn w:val="DocText"/>
    <w:rsid w:val="00B90CA0"/>
    <w:pPr>
      <w:numPr>
        <w:ilvl w:val="2"/>
      </w:numPr>
      <w:tabs>
        <w:tab w:val="num" w:pos="1440"/>
      </w:tabs>
      <w:ind w:hanging="720"/>
    </w:pPr>
  </w:style>
  <w:style w:type="paragraph" w:customStyle="1" w:styleId="DocTextL3">
    <w:name w:val="DocTextL3"/>
    <w:basedOn w:val="DocText"/>
    <w:rsid w:val="00B90CA0"/>
    <w:pPr>
      <w:numPr>
        <w:ilvl w:val="3"/>
      </w:numPr>
      <w:tabs>
        <w:tab w:val="num" w:pos="2160"/>
      </w:tabs>
      <w:ind w:hanging="720"/>
    </w:pPr>
  </w:style>
  <w:style w:type="paragraph" w:customStyle="1" w:styleId="DocTextL4">
    <w:name w:val="DocTextL4"/>
    <w:basedOn w:val="DocText"/>
    <w:rsid w:val="00B90CA0"/>
    <w:pPr>
      <w:numPr>
        <w:ilvl w:val="4"/>
      </w:numPr>
      <w:tabs>
        <w:tab w:val="num" w:pos="2880"/>
      </w:tabs>
      <w:ind w:hanging="720"/>
    </w:pPr>
  </w:style>
  <w:style w:type="paragraph" w:customStyle="1" w:styleId="DocTextL5">
    <w:name w:val="DocTextL5"/>
    <w:basedOn w:val="DocText"/>
    <w:rsid w:val="00B90CA0"/>
    <w:pPr>
      <w:numPr>
        <w:ilvl w:val="5"/>
      </w:numPr>
      <w:tabs>
        <w:tab w:val="num" w:pos="3600"/>
      </w:tabs>
      <w:ind w:hanging="720"/>
    </w:pPr>
  </w:style>
  <w:style w:type="paragraph" w:customStyle="1" w:styleId="DocTextL6">
    <w:name w:val="DocTextL6"/>
    <w:basedOn w:val="DocText"/>
    <w:rsid w:val="00B90CA0"/>
    <w:pPr>
      <w:numPr>
        <w:ilvl w:val="6"/>
      </w:numPr>
      <w:tabs>
        <w:tab w:val="num" w:pos="0"/>
      </w:tabs>
      <w:ind w:left="0"/>
    </w:pPr>
  </w:style>
  <w:style w:type="paragraph" w:customStyle="1" w:styleId="DocTextL7">
    <w:name w:val="DocTextL7"/>
    <w:basedOn w:val="DocText"/>
    <w:rsid w:val="00B90CA0"/>
    <w:pPr>
      <w:numPr>
        <w:ilvl w:val="7"/>
      </w:numPr>
      <w:tabs>
        <w:tab w:val="num" w:pos="0"/>
      </w:tabs>
      <w:ind w:left="0"/>
    </w:pPr>
  </w:style>
  <w:style w:type="paragraph" w:customStyle="1" w:styleId="DocTextL8">
    <w:name w:val="DocTextL8"/>
    <w:basedOn w:val="DocText"/>
    <w:rsid w:val="00B90CA0"/>
    <w:pPr>
      <w:numPr>
        <w:ilvl w:val="8"/>
      </w:numPr>
      <w:tabs>
        <w:tab w:val="num" w:pos="0"/>
      </w:tabs>
      <w:ind w:left="0"/>
    </w:pPr>
  </w:style>
  <w:style w:type="paragraph" w:customStyle="1" w:styleId="TableL1">
    <w:name w:val="TableL1"/>
    <w:basedOn w:val="DocText"/>
    <w:next w:val="DocTextL1"/>
    <w:rsid w:val="00B90CA0"/>
    <w:pPr>
      <w:numPr>
        <w:numId w:val="22"/>
      </w:numPr>
      <w:tabs>
        <w:tab w:val="num" w:pos="720"/>
      </w:tabs>
    </w:pPr>
    <w:rPr>
      <w:sz w:val="18"/>
    </w:rPr>
  </w:style>
  <w:style w:type="paragraph" w:customStyle="1" w:styleId="TableL2">
    <w:name w:val="TableL2"/>
    <w:basedOn w:val="DocText"/>
    <w:next w:val="DocTextL1"/>
    <w:rsid w:val="00B90CA0"/>
    <w:pPr>
      <w:numPr>
        <w:ilvl w:val="1"/>
        <w:numId w:val="22"/>
      </w:numPr>
      <w:tabs>
        <w:tab w:val="num" w:pos="0"/>
      </w:tabs>
      <w:ind w:left="0" w:firstLine="0"/>
    </w:pPr>
  </w:style>
  <w:style w:type="paragraph" w:customStyle="1" w:styleId="TableL3">
    <w:name w:val="TableL3"/>
    <w:basedOn w:val="DocText"/>
    <w:next w:val="DocTextL1"/>
    <w:rsid w:val="00B90CA0"/>
    <w:pPr>
      <w:numPr>
        <w:ilvl w:val="2"/>
        <w:numId w:val="22"/>
      </w:numPr>
      <w:tabs>
        <w:tab w:val="num" w:pos="0"/>
      </w:tabs>
      <w:ind w:left="0" w:firstLine="0"/>
    </w:pPr>
    <w:rPr>
      <w:sz w:val="18"/>
    </w:rPr>
  </w:style>
  <w:style w:type="paragraph" w:customStyle="1" w:styleId="TableL4">
    <w:name w:val="TableL4"/>
    <w:basedOn w:val="DocText"/>
    <w:next w:val="DocTextL1"/>
    <w:rsid w:val="00B90CA0"/>
    <w:pPr>
      <w:numPr>
        <w:ilvl w:val="3"/>
        <w:numId w:val="22"/>
      </w:numPr>
      <w:tabs>
        <w:tab w:val="num" w:pos="0"/>
      </w:tabs>
      <w:ind w:left="0" w:firstLine="0"/>
    </w:pPr>
  </w:style>
  <w:style w:type="paragraph" w:customStyle="1" w:styleId="TableL5">
    <w:name w:val="TableL5"/>
    <w:basedOn w:val="DocText"/>
    <w:next w:val="DocTextL2"/>
    <w:rsid w:val="00B90CA0"/>
    <w:pPr>
      <w:numPr>
        <w:ilvl w:val="4"/>
        <w:numId w:val="22"/>
      </w:numPr>
      <w:tabs>
        <w:tab w:val="num" w:pos="0"/>
      </w:tabs>
      <w:ind w:left="0" w:firstLine="0"/>
    </w:pPr>
  </w:style>
  <w:style w:type="paragraph" w:customStyle="1" w:styleId="TableL6">
    <w:name w:val="TableL6"/>
    <w:basedOn w:val="DocText"/>
    <w:next w:val="DocTextL2"/>
    <w:rsid w:val="00B90CA0"/>
    <w:pPr>
      <w:numPr>
        <w:ilvl w:val="5"/>
        <w:numId w:val="22"/>
      </w:numPr>
      <w:tabs>
        <w:tab w:val="num" w:pos="0"/>
      </w:tabs>
      <w:ind w:left="0" w:firstLine="0"/>
    </w:pPr>
  </w:style>
  <w:style w:type="paragraph" w:customStyle="1" w:styleId="TableL7">
    <w:name w:val="TableL7"/>
    <w:basedOn w:val="DocText"/>
    <w:next w:val="DocTextL2"/>
    <w:rsid w:val="00B90CA0"/>
    <w:pPr>
      <w:numPr>
        <w:ilvl w:val="6"/>
        <w:numId w:val="22"/>
      </w:numPr>
      <w:tabs>
        <w:tab w:val="num" w:pos="0"/>
      </w:tabs>
      <w:ind w:left="0" w:firstLine="0"/>
    </w:pPr>
  </w:style>
  <w:style w:type="paragraph" w:customStyle="1" w:styleId="TableL8">
    <w:name w:val="TableL8"/>
    <w:basedOn w:val="DocText"/>
    <w:next w:val="DocTextL3"/>
    <w:rsid w:val="00B90CA0"/>
    <w:pPr>
      <w:numPr>
        <w:ilvl w:val="7"/>
        <w:numId w:val="22"/>
      </w:numPr>
      <w:tabs>
        <w:tab w:val="num" w:pos="0"/>
      </w:tabs>
      <w:ind w:left="0" w:firstLine="0"/>
    </w:pPr>
  </w:style>
  <w:style w:type="paragraph" w:customStyle="1" w:styleId="TableL9">
    <w:name w:val="TableL9"/>
    <w:basedOn w:val="DocText"/>
    <w:next w:val="DocTextL3"/>
    <w:rsid w:val="00B90CA0"/>
    <w:pPr>
      <w:numPr>
        <w:ilvl w:val="8"/>
        <w:numId w:val="22"/>
      </w:numPr>
      <w:tabs>
        <w:tab w:val="num" w:pos="0"/>
      </w:tabs>
      <w:ind w:left="0" w:firstLine="0"/>
    </w:pPr>
  </w:style>
  <w:style w:type="paragraph" w:styleId="TOCHeading">
    <w:name w:val="TOC Heading"/>
    <w:basedOn w:val="Heading1"/>
    <w:next w:val="Normal"/>
    <w:uiPriority w:val="39"/>
    <w:semiHidden/>
    <w:unhideWhenUsed/>
    <w:qFormat/>
    <w:rsid w:val="00B90CA0"/>
    <w:pPr>
      <w:keepLines/>
      <w:spacing w:before="480" w:line="276" w:lineRule="auto"/>
      <w:jc w:val="left"/>
      <w:outlineLvl w:val="9"/>
    </w:pPr>
    <w:rPr>
      <w:rFonts w:asciiTheme="majorHAnsi" w:eastAsiaTheme="majorEastAsia" w:hAnsiTheme="majorHAnsi" w:cstheme="majorBidi"/>
      <w:caps w:val="0"/>
      <w:color w:val="004B6F" w:themeColor="accent1" w:themeShade="BF"/>
      <w:sz w:val="28"/>
      <w:lang w:val="en-US" w:eastAsia="ja-JP"/>
    </w:rPr>
  </w:style>
  <w:style w:type="character" w:styleId="Hyperlink">
    <w:name w:val="Hyperlink"/>
    <w:basedOn w:val="DefaultParagraphFont"/>
    <w:uiPriority w:val="99"/>
    <w:unhideWhenUsed/>
    <w:rsid w:val="00B90CA0"/>
    <w:rPr>
      <w:color w:val="5C6F7B" w:themeColor="hyperlink"/>
      <w:u w:val="single"/>
    </w:rPr>
  </w:style>
  <w:style w:type="paragraph" w:styleId="ListParagraph">
    <w:name w:val="List Paragraph"/>
    <w:basedOn w:val="Normal"/>
    <w:link w:val="ListParagraphChar"/>
    <w:uiPriority w:val="34"/>
    <w:qFormat/>
    <w:rsid w:val="00B90CA0"/>
    <w:pPr>
      <w:ind w:left="720"/>
      <w:contextualSpacing/>
    </w:pPr>
    <w:rPr>
      <w:rFonts w:ascii="Times New Roman" w:eastAsiaTheme="minorHAnsi" w:hAnsi="Times New Roman"/>
      <w:sz w:val="22"/>
      <w:szCs w:val="22"/>
      <w:lang w:val="en-GB" w:eastAsia="en-US"/>
    </w:rPr>
  </w:style>
  <w:style w:type="character" w:styleId="SubtleEmphasis">
    <w:name w:val="Subtle Emphasis"/>
    <w:basedOn w:val="DefaultParagraphFont"/>
    <w:uiPriority w:val="19"/>
    <w:rsid w:val="00B90CA0"/>
    <w:rPr>
      <w:i/>
      <w:iCs/>
      <w:color w:val="808080" w:themeColor="text1" w:themeTint="7F"/>
    </w:rPr>
  </w:style>
  <w:style w:type="table" w:customStyle="1" w:styleId="GridTable1Light1">
    <w:name w:val="Grid Table 1 Light1"/>
    <w:basedOn w:val="TableNormal"/>
    <w:uiPriority w:val="46"/>
    <w:rsid w:val="00B90CA0"/>
    <w:pPr>
      <w:spacing w:line="240" w:lineRule="auto"/>
    </w:pPr>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Gennum1">
    <w:name w:val="Gennum1"/>
    <w:rsid w:val="00B90CA0"/>
    <w:pPr>
      <w:keepNext/>
      <w:numPr>
        <w:numId w:val="23"/>
      </w:numPr>
      <w:spacing w:before="240"/>
      <w:jc w:val="both"/>
    </w:pPr>
    <w:rPr>
      <w:rFonts w:ascii="Times New Roman Bold" w:hAnsi="Times New Roman Bold" w:cs="Times New Roman"/>
      <w:b/>
      <w:caps/>
      <w:lang w:val="cs-CZ"/>
    </w:rPr>
  </w:style>
  <w:style w:type="paragraph" w:customStyle="1" w:styleId="Gennum2">
    <w:name w:val="Gennum2"/>
    <w:rsid w:val="00B90CA0"/>
    <w:pPr>
      <w:keepNext/>
      <w:numPr>
        <w:ilvl w:val="1"/>
        <w:numId w:val="23"/>
      </w:numPr>
      <w:spacing w:before="240"/>
      <w:jc w:val="both"/>
    </w:pPr>
    <w:rPr>
      <w:rFonts w:ascii="Times New Roman Bold" w:hAnsi="Times New Roman Bold" w:cs="Times New Roman"/>
      <w:b/>
      <w:lang w:val="cs-CZ"/>
    </w:rPr>
  </w:style>
  <w:style w:type="paragraph" w:customStyle="1" w:styleId="Gennum3">
    <w:name w:val="Gennum3"/>
    <w:rsid w:val="00B90CA0"/>
    <w:pPr>
      <w:keepNext/>
      <w:numPr>
        <w:ilvl w:val="2"/>
        <w:numId w:val="23"/>
      </w:numPr>
      <w:spacing w:before="240"/>
      <w:jc w:val="both"/>
    </w:pPr>
    <w:rPr>
      <w:rFonts w:cs="Times New Roman"/>
      <w:lang w:val="cs-CZ"/>
    </w:rPr>
  </w:style>
  <w:style w:type="paragraph" w:customStyle="1" w:styleId="Head1">
    <w:name w:val="Head1"/>
    <w:rsid w:val="00B90CA0"/>
    <w:pPr>
      <w:keepNext/>
      <w:spacing w:before="240" w:line="240" w:lineRule="auto"/>
      <w:jc w:val="both"/>
    </w:pPr>
    <w:rPr>
      <w:rFonts w:cs="Times New Roman"/>
      <w:b/>
      <w:u w:val="single"/>
      <w:lang w:val="cs-CZ" w:eastAsia="cs-CZ"/>
    </w:rPr>
  </w:style>
  <w:style w:type="paragraph" w:customStyle="1" w:styleId="Head2">
    <w:name w:val="Head2"/>
    <w:rsid w:val="00B90CA0"/>
    <w:pPr>
      <w:keepNext/>
      <w:spacing w:before="240" w:line="240" w:lineRule="auto"/>
      <w:jc w:val="both"/>
    </w:pPr>
    <w:rPr>
      <w:rFonts w:cs="Times New Roman"/>
      <w:b/>
      <w:lang w:val="cs-CZ" w:eastAsia="cs-CZ"/>
    </w:rPr>
  </w:style>
  <w:style w:type="paragraph" w:customStyle="1" w:styleId="Head3">
    <w:name w:val="Head3"/>
    <w:rsid w:val="00B90CA0"/>
    <w:pPr>
      <w:keepNext/>
      <w:spacing w:before="240"/>
      <w:jc w:val="both"/>
    </w:pPr>
    <w:rPr>
      <w:rFonts w:cs="Times New Roman"/>
      <w:u w:val="single"/>
      <w:lang w:val="cs-CZ" w:eastAsia="cs-CZ"/>
    </w:rPr>
  </w:style>
  <w:style w:type="paragraph" w:customStyle="1" w:styleId="Level1">
    <w:name w:val="Level1"/>
    <w:qFormat/>
    <w:rsid w:val="00B90CA0"/>
    <w:pPr>
      <w:keepNext/>
      <w:numPr>
        <w:numId w:val="24"/>
      </w:numPr>
      <w:spacing w:before="240" w:line="240" w:lineRule="auto"/>
      <w:jc w:val="both"/>
      <w:outlineLvl w:val="0"/>
    </w:pPr>
    <w:rPr>
      <w:rFonts w:ascii="Times New Roman Bold" w:eastAsia="Batang" w:hAnsi="Times New Roman Bold" w:cs="Times New Roman"/>
      <w:b/>
    </w:rPr>
  </w:style>
  <w:style w:type="paragraph" w:customStyle="1" w:styleId="Level2">
    <w:name w:val="Level2"/>
    <w:qFormat/>
    <w:rsid w:val="00B90CA0"/>
    <w:pPr>
      <w:keepNext/>
      <w:numPr>
        <w:ilvl w:val="1"/>
        <w:numId w:val="24"/>
      </w:numPr>
      <w:spacing w:before="240" w:line="240" w:lineRule="auto"/>
      <w:jc w:val="both"/>
      <w:outlineLvl w:val="1"/>
    </w:pPr>
    <w:rPr>
      <w:rFonts w:ascii="Times New Roman Bold" w:eastAsia="Batang" w:hAnsi="Times New Roman Bold" w:cs="Times New Roman"/>
      <w:b/>
    </w:rPr>
  </w:style>
  <w:style w:type="paragraph" w:customStyle="1" w:styleId="Level3">
    <w:name w:val="Level3"/>
    <w:qFormat/>
    <w:rsid w:val="00B90CA0"/>
    <w:pPr>
      <w:keepNext/>
      <w:numPr>
        <w:ilvl w:val="2"/>
        <w:numId w:val="24"/>
      </w:numPr>
      <w:spacing w:before="240" w:line="240" w:lineRule="auto"/>
      <w:jc w:val="both"/>
      <w:outlineLvl w:val="2"/>
    </w:pPr>
    <w:rPr>
      <w:rFonts w:ascii="Times New Roman Bold" w:eastAsia="Batang" w:hAnsi="Times New Roman Bold" w:cs="Times New Roman"/>
      <w:b/>
    </w:rPr>
  </w:style>
  <w:style w:type="paragraph" w:customStyle="1" w:styleId="Level4">
    <w:name w:val="Level4"/>
    <w:qFormat/>
    <w:rsid w:val="00B90CA0"/>
    <w:pPr>
      <w:numPr>
        <w:ilvl w:val="3"/>
        <w:numId w:val="24"/>
      </w:numPr>
      <w:spacing w:before="240" w:line="240" w:lineRule="auto"/>
      <w:jc w:val="both"/>
      <w:outlineLvl w:val="2"/>
    </w:pPr>
    <w:rPr>
      <w:rFonts w:eastAsia="Batang" w:cs="Times New Roman"/>
    </w:rPr>
  </w:style>
  <w:style w:type="paragraph" w:customStyle="1" w:styleId="Level5">
    <w:name w:val="Level5"/>
    <w:qFormat/>
    <w:rsid w:val="00B90CA0"/>
    <w:pPr>
      <w:numPr>
        <w:ilvl w:val="4"/>
        <w:numId w:val="24"/>
      </w:numPr>
      <w:spacing w:before="240" w:line="240" w:lineRule="auto"/>
      <w:jc w:val="both"/>
    </w:pPr>
    <w:rPr>
      <w:rFonts w:eastAsia="Batang" w:cs="Times New Roman"/>
    </w:rPr>
  </w:style>
  <w:style w:type="paragraph" w:customStyle="1" w:styleId="Level6">
    <w:name w:val="Level6"/>
    <w:qFormat/>
    <w:rsid w:val="00B90CA0"/>
    <w:pPr>
      <w:numPr>
        <w:ilvl w:val="5"/>
        <w:numId w:val="24"/>
      </w:numPr>
      <w:spacing w:before="240" w:line="240" w:lineRule="auto"/>
      <w:jc w:val="both"/>
    </w:pPr>
    <w:rPr>
      <w:rFonts w:eastAsia="Batang" w:cs="Times New Roman"/>
    </w:rPr>
  </w:style>
  <w:style w:type="paragraph" w:customStyle="1" w:styleId="paranum1">
    <w:name w:val="paranum1"/>
    <w:rsid w:val="00B90CA0"/>
    <w:pPr>
      <w:pageBreakBefore/>
      <w:numPr>
        <w:numId w:val="25"/>
      </w:numPr>
      <w:spacing w:before="120" w:line="240" w:lineRule="auto"/>
      <w:jc w:val="both"/>
      <w:outlineLvl w:val="0"/>
    </w:pPr>
    <w:rPr>
      <w:rFonts w:ascii="Times New Roman Bold" w:eastAsia="Batang" w:hAnsi="Times New Roman Bold" w:cs="Times New Roman"/>
      <w:b/>
      <w:caps/>
    </w:rPr>
  </w:style>
  <w:style w:type="paragraph" w:customStyle="1" w:styleId="paranum2">
    <w:name w:val="paranum2"/>
    <w:rsid w:val="00B90CA0"/>
    <w:pPr>
      <w:numPr>
        <w:ilvl w:val="1"/>
        <w:numId w:val="25"/>
      </w:numPr>
      <w:spacing w:before="120" w:line="240" w:lineRule="auto"/>
      <w:jc w:val="both"/>
    </w:pPr>
    <w:rPr>
      <w:rFonts w:ascii="Times New Roman Bold" w:eastAsia="Batang" w:hAnsi="Times New Roman Bold" w:cs="Times New Roman"/>
      <w:b/>
    </w:rPr>
  </w:style>
  <w:style w:type="paragraph" w:customStyle="1" w:styleId="paranum3">
    <w:name w:val="paranum3"/>
    <w:rsid w:val="00B90CA0"/>
    <w:pPr>
      <w:numPr>
        <w:ilvl w:val="2"/>
        <w:numId w:val="25"/>
      </w:numPr>
      <w:spacing w:before="120" w:line="240" w:lineRule="auto"/>
      <w:jc w:val="both"/>
    </w:pPr>
    <w:rPr>
      <w:rFonts w:eastAsia="Batang" w:cs="Times New Roman"/>
    </w:rPr>
  </w:style>
  <w:style w:type="paragraph" w:customStyle="1" w:styleId="Title1">
    <w:name w:val="Title 1"/>
    <w:basedOn w:val="Normal"/>
    <w:next w:val="BodyText"/>
    <w:qFormat/>
    <w:rsid w:val="00B90CA0"/>
    <w:pPr>
      <w:pageBreakBefore/>
      <w:numPr>
        <w:numId w:val="26"/>
      </w:numPr>
      <w:spacing w:after="200"/>
      <w:jc w:val="center"/>
      <w:outlineLvl w:val="0"/>
    </w:pPr>
    <w:rPr>
      <w:rFonts w:ascii="Times New Roman" w:eastAsia="SimSun" w:hAnsi="Times New Roman Bold" w:cs="Times"/>
      <w:b/>
      <w:caps/>
      <w:szCs w:val="24"/>
      <w:lang w:val="en-GB" w:eastAsia="zh-CN" w:bidi="he-IL"/>
    </w:rPr>
  </w:style>
  <w:style w:type="paragraph" w:customStyle="1" w:styleId="Title2">
    <w:name w:val="Title 2"/>
    <w:basedOn w:val="Normal"/>
    <w:next w:val="BodyText"/>
    <w:qFormat/>
    <w:rsid w:val="00B90CA0"/>
    <w:pPr>
      <w:keepNext/>
      <w:numPr>
        <w:ilvl w:val="1"/>
        <w:numId w:val="26"/>
      </w:numPr>
      <w:spacing w:after="200"/>
      <w:jc w:val="center"/>
      <w:outlineLvl w:val="0"/>
    </w:pPr>
    <w:rPr>
      <w:rFonts w:ascii="Times New Roman" w:hAnsi="Times New Roman Bold" w:cs="Times"/>
      <w:b/>
      <w:caps/>
      <w:szCs w:val="24"/>
      <w:lang w:val="en-GB" w:eastAsia="en-US"/>
    </w:rPr>
  </w:style>
  <w:style w:type="paragraph" w:customStyle="1" w:styleId="Title3">
    <w:name w:val="Title 3"/>
    <w:basedOn w:val="Normal"/>
    <w:next w:val="BodyText"/>
    <w:qFormat/>
    <w:rsid w:val="00B90CA0"/>
    <w:pPr>
      <w:keepNext/>
      <w:numPr>
        <w:ilvl w:val="2"/>
        <w:numId w:val="26"/>
      </w:numPr>
      <w:spacing w:after="200"/>
      <w:jc w:val="center"/>
      <w:outlineLvl w:val="0"/>
    </w:pPr>
    <w:rPr>
      <w:rFonts w:ascii="Times New Roman" w:eastAsia="SimSun" w:hAnsi="Times New Roman Bold" w:cs="Times"/>
      <w:b/>
      <w:caps/>
      <w:szCs w:val="24"/>
      <w:lang w:val="en-GB" w:eastAsia="zh-CN" w:bidi="he-IL"/>
    </w:rPr>
  </w:style>
  <w:style w:type="paragraph" w:customStyle="1" w:styleId="Title4">
    <w:name w:val="Title 4"/>
    <w:basedOn w:val="Normal"/>
    <w:next w:val="BodyText"/>
    <w:qFormat/>
    <w:rsid w:val="00B90CA0"/>
    <w:pPr>
      <w:keepNext/>
      <w:numPr>
        <w:ilvl w:val="3"/>
        <w:numId w:val="26"/>
      </w:numPr>
      <w:spacing w:after="200"/>
      <w:jc w:val="both"/>
      <w:outlineLvl w:val="1"/>
    </w:pPr>
    <w:rPr>
      <w:rFonts w:ascii="Times New Roman" w:eastAsia="SimSun" w:hAnsi="Times New Roman Bold" w:cs="Times"/>
      <w:b/>
      <w:szCs w:val="24"/>
      <w:lang w:val="en-GB" w:eastAsia="zh-CN" w:bidi="he-IL"/>
    </w:rPr>
  </w:style>
  <w:style w:type="paragraph" w:customStyle="1" w:styleId="Title5">
    <w:name w:val="Title 5"/>
    <w:basedOn w:val="Normal"/>
    <w:next w:val="Normal"/>
    <w:qFormat/>
    <w:rsid w:val="00B90CA0"/>
    <w:pPr>
      <w:keepNext/>
      <w:numPr>
        <w:ilvl w:val="4"/>
        <w:numId w:val="26"/>
      </w:numPr>
      <w:spacing w:after="200"/>
      <w:jc w:val="both"/>
      <w:outlineLvl w:val="1"/>
    </w:pPr>
    <w:rPr>
      <w:rFonts w:ascii="Times New Roman" w:eastAsia="SimSun" w:hAnsi="Times New Roman Bold" w:cs="Times"/>
      <w:b/>
      <w:szCs w:val="24"/>
      <w:lang w:val="en-GB" w:eastAsia="zh-CN" w:bidi="he-IL"/>
    </w:rPr>
  </w:style>
  <w:style w:type="paragraph" w:customStyle="1" w:styleId="Title6">
    <w:name w:val="Title 6"/>
    <w:basedOn w:val="Normal"/>
    <w:next w:val="Normal"/>
    <w:qFormat/>
    <w:rsid w:val="00B90CA0"/>
    <w:pPr>
      <w:keepNext/>
      <w:numPr>
        <w:ilvl w:val="5"/>
        <w:numId w:val="26"/>
      </w:numPr>
      <w:spacing w:after="200"/>
      <w:jc w:val="both"/>
      <w:outlineLvl w:val="1"/>
    </w:pPr>
    <w:rPr>
      <w:rFonts w:ascii="Times New Roman" w:eastAsia="SimSun" w:hAnsi="Times New Roman Bold" w:cs="Times"/>
      <w:b/>
      <w:i/>
      <w:szCs w:val="24"/>
      <w:lang w:val="en-GB" w:eastAsia="zh-CN" w:bidi="he-IL"/>
    </w:rPr>
  </w:style>
  <w:style w:type="paragraph" w:customStyle="1" w:styleId="Title7">
    <w:name w:val="Title 7"/>
    <w:basedOn w:val="Normal"/>
    <w:next w:val="BodyText"/>
    <w:qFormat/>
    <w:rsid w:val="00B90CA0"/>
    <w:pPr>
      <w:keepNext/>
      <w:numPr>
        <w:ilvl w:val="6"/>
        <w:numId w:val="26"/>
      </w:numPr>
      <w:spacing w:after="200"/>
      <w:jc w:val="both"/>
      <w:outlineLvl w:val="0"/>
    </w:pPr>
    <w:rPr>
      <w:rFonts w:ascii="Times New Roman" w:eastAsia="SimSun" w:hAnsi="Times New Roman" w:cs="Times"/>
      <w:i/>
      <w:szCs w:val="24"/>
      <w:lang w:val="en-GB" w:eastAsia="zh-CN" w:bidi="he-IL"/>
    </w:rPr>
  </w:style>
  <w:style w:type="paragraph" w:customStyle="1" w:styleId="Text1">
    <w:name w:val="Text1"/>
    <w:qFormat/>
    <w:rsid w:val="00B90CA0"/>
    <w:pPr>
      <w:numPr>
        <w:numId w:val="27"/>
      </w:numPr>
      <w:spacing w:before="240"/>
      <w:jc w:val="both"/>
    </w:pPr>
    <w:rPr>
      <w:rFonts w:ascii="Times New Roman Bold" w:eastAsia="Calibri" w:hAnsi="Times New Roman Bold" w:cs="Times New Roman"/>
      <w:b/>
    </w:rPr>
  </w:style>
  <w:style w:type="paragraph" w:customStyle="1" w:styleId="Text2">
    <w:name w:val="Text2"/>
    <w:qFormat/>
    <w:rsid w:val="00B90CA0"/>
    <w:pPr>
      <w:numPr>
        <w:ilvl w:val="1"/>
        <w:numId w:val="27"/>
      </w:numPr>
      <w:spacing w:before="240"/>
      <w:jc w:val="both"/>
    </w:pPr>
    <w:rPr>
      <w:rFonts w:eastAsia="Calibri" w:cs="Times New Roman"/>
    </w:rPr>
  </w:style>
  <w:style w:type="paragraph" w:customStyle="1" w:styleId="BulletL9">
    <w:name w:val="Bullet L9"/>
    <w:basedOn w:val="Normal"/>
    <w:rsid w:val="00B90CA0"/>
    <w:pPr>
      <w:numPr>
        <w:ilvl w:val="8"/>
        <w:numId w:val="28"/>
      </w:numPr>
      <w:spacing w:after="200"/>
      <w:jc w:val="both"/>
    </w:pPr>
    <w:rPr>
      <w:rFonts w:ascii="Times New Roman" w:eastAsia="SimSun" w:hAnsi="Times New Roman"/>
      <w:sz w:val="24"/>
      <w:szCs w:val="24"/>
      <w:lang w:val="en-GB" w:eastAsia="zh-CN" w:bidi="he-IL"/>
    </w:rPr>
  </w:style>
  <w:style w:type="paragraph" w:customStyle="1" w:styleId="BulletL8">
    <w:name w:val="Bullet L8"/>
    <w:basedOn w:val="Normal"/>
    <w:rsid w:val="00B90CA0"/>
    <w:pPr>
      <w:numPr>
        <w:ilvl w:val="7"/>
        <w:numId w:val="28"/>
      </w:numPr>
      <w:spacing w:after="200"/>
      <w:jc w:val="both"/>
    </w:pPr>
    <w:rPr>
      <w:rFonts w:ascii="Times New Roman" w:eastAsia="SimSun" w:hAnsi="Times New Roman"/>
      <w:sz w:val="24"/>
      <w:szCs w:val="24"/>
      <w:lang w:val="en-GB" w:eastAsia="zh-CN" w:bidi="he-IL"/>
    </w:rPr>
  </w:style>
  <w:style w:type="paragraph" w:customStyle="1" w:styleId="BulletL7">
    <w:name w:val="Bullet L7"/>
    <w:basedOn w:val="Normal"/>
    <w:rsid w:val="00B90CA0"/>
    <w:pPr>
      <w:numPr>
        <w:ilvl w:val="6"/>
        <w:numId w:val="28"/>
      </w:numPr>
      <w:spacing w:after="200"/>
      <w:jc w:val="both"/>
      <w:outlineLvl w:val="6"/>
    </w:pPr>
    <w:rPr>
      <w:rFonts w:ascii="Times New Roman" w:eastAsia="SimSun" w:hAnsi="Times New Roman"/>
      <w:szCs w:val="24"/>
      <w:lang w:val="en-GB" w:eastAsia="zh-CN" w:bidi="he-IL"/>
    </w:rPr>
  </w:style>
  <w:style w:type="paragraph" w:customStyle="1" w:styleId="BulletL6">
    <w:name w:val="Bullet L6"/>
    <w:basedOn w:val="Normal"/>
    <w:rsid w:val="00B90CA0"/>
    <w:pPr>
      <w:numPr>
        <w:ilvl w:val="5"/>
        <w:numId w:val="28"/>
      </w:numPr>
      <w:spacing w:after="200"/>
      <w:jc w:val="both"/>
      <w:outlineLvl w:val="5"/>
    </w:pPr>
    <w:rPr>
      <w:rFonts w:ascii="Times New Roman" w:eastAsia="SimSun" w:hAnsi="Times New Roman"/>
      <w:szCs w:val="24"/>
      <w:lang w:val="en-GB" w:eastAsia="zh-CN" w:bidi="he-IL"/>
    </w:rPr>
  </w:style>
  <w:style w:type="paragraph" w:customStyle="1" w:styleId="BulletL5">
    <w:name w:val="Bullet L5"/>
    <w:basedOn w:val="Normal"/>
    <w:rsid w:val="00B90CA0"/>
    <w:pPr>
      <w:numPr>
        <w:ilvl w:val="4"/>
        <w:numId w:val="28"/>
      </w:numPr>
      <w:spacing w:after="200"/>
      <w:ind w:hanging="680"/>
      <w:jc w:val="both"/>
      <w:outlineLvl w:val="4"/>
    </w:pPr>
    <w:rPr>
      <w:rFonts w:ascii="Times New Roman" w:eastAsia="SimSun" w:hAnsi="Times New Roman"/>
      <w:szCs w:val="24"/>
      <w:lang w:val="en-GB" w:eastAsia="zh-CN" w:bidi="he-IL"/>
    </w:rPr>
  </w:style>
  <w:style w:type="paragraph" w:customStyle="1" w:styleId="BulletL4">
    <w:name w:val="Bullet L4"/>
    <w:basedOn w:val="Normal"/>
    <w:rsid w:val="00B90CA0"/>
    <w:pPr>
      <w:numPr>
        <w:ilvl w:val="3"/>
        <w:numId w:val="28"/>
      </w:numPr>
      <w:spacing w:after="200"/>
      <w:jc w:val="both"/>
      <w:outlineLvl w:val="3"/>
    </w:pPr>
    <w:rPr>
      <w:rFonts w:ascii="Times New Roman" w:eastAsia="SimSun" w:hAnsi="Times New Roman"/>
      <w:szCs w:val="24"/>
      <w:lang w:val="en-GB" w:eastAsia="zh-CN" w:bidi="he-IL"/>
    </w:rPr>
  </w:style>
  <w:style w:type="paragraph" w:customStyle="1" w:styleId="BulletL3">
    <w:name w:val="Bullet L3"/>
    <w:basedOn w:val="Normal"/>
    <w:rsid w:val="00B90CA0"/>
    <w:pPr>
      <w:numPr>
        <w:ilvl w:val="2"/>
        <w:numId w:val="28"/>
      </w:numPr>
      <w:spacing w:after="200"/>
      <w:jc w:val="both"/>
      <w:outlineLvl w:val="2"/>
    </w:pPr>
    <w:rPr>
      <w:rFonts w:ascii="Times New Roman" w:eastAsia="SimSun" w:hAnsi="Times New Roman"/>
      <w:szCs w:val="24"/>
      <w:lang w:val="en-GB" w:eastAsia="zh-CN" w:bidi="he-IL"/>
    </w:rPr>
  </w:style>
  <w:style w:type="paragraph" w:customStyle="1" w:styleId="BulletL2">
    <w:name w:val="Bullet L2"/>
    <w:basedOn w:val="Normal"/>
    <w:rsid w:val="00B90CA0"/>
    <w:pPr>
      <w:numPr>
        <w:ilvl w:val="1"/>
        <w:numId w:val="28"/>
      </w:numPr>
      <w:spacing w:after="200"/>
      <w:ind w:left="1360" w:hanging="680"/>
      <w:jc w:val="both"/>
      <w:outlineLvl w:val="1"/>
    </w:pPr>
    <w:rPr>
      <w:rFonts w:ascii="Times New Roman" w:eastAsia="SimSun" w:hAnsi="Times New Roman"/>
      <w:szCs w:val="24"/>
      <w:lang w:val="en-GB" w:eastAsia="zh-CN" w:bidi="he-IL"/>
    </w:rPr>
  </w:style>
  <w:style w:type="paragraph" w:customStyle="1" w:styleId="BulletL10">
    <w:name w:val="Bullet L1"/>
    <w:basedOn w:val="Normal"/>
    <w:rsid w:val="00B90CA0"/>
    <w:pPr>
      <w:numPr>
        <w:numId w:val="28"/>
      </w:numPr>
      <w:spacing w:before="240"/>
      <w:ind w:left="677" w:hanging="677"/>
      <w:jc w:val="both"/>
      <w:outlineLvl w:val="0"/>
    </w:pPr>
    <w:rPr>
      <w:rFonts w:ascii="Times New Roman" w:eastAsia="SimSun" w:hAnsi="Times New Roman"/>
      <w:sz w:val="22"/>
      <w:szCs w:val="24"/>
      <w:lang w:val="en-GB" w:eastAsia="zh-CN" w:bidi="he-IL"/>
    </w:rPr>
  </w:style>
  <w:style w:type="paragraph" w:styleId="BodyText">
    <w:name w:val="Body Text"/>
    <w:basedOn w:val="Normal"/>
    <w:link w:val="BodyTextChar"/>
    <w:uiPriority w:val="99"/>
    <w:semiHidden/>
    <w:unhideWhenUsed/>
    <w:rsid w:val="00B90CA0"/>
    <w:pPr>
      <w:spacing w:after="120"/>
    </w:pPr>
    <w:rPr>
      <w:rFonts w:ascii="Times New Roman" w:eastAsiaTheme="minorHAnsi" w:hAnsi="Times New Roman"/>
      <w:sz w:val="22"/>
      <w:szCs w:val="22"/>
      <w:lang w:val="en-GB" w:eastAsia="en-US"/>
    </w:rPr>
  </w:style>
  <w:style w:type="character" w:customStyle="1" w:styleId="BodyTextChar">
    <w:name w:val="Body Text Char"/>
    <w:basedOn w:val="DefaultParagraphFont"/>
    <w:link w:val="BodyText"/>
    <w:uiPriority w:val="99"/>
    <w:semiHidden/>
    <w:rsid w:val="00B90CA0"/>
    <w:rPr>
      <w:rFonts w:cs="Times New Roman"/>
    </w:rPr>
  </w:style>
  <w:style w:type="paragraph" w:customStyle="1" w:styleId="BulletL1">
    <w:name w:val="BulletL1"/>
    <w:basedOn w:val="DocText"/>
    <w:rsid w:val="00B90CA0"/>
    <w:pPr>
      <w:numPr>
        <w:numId w:val="29"/>
      </w:numPr>
      <w:tabs>
        <w:tab w:val="num" w:pos="0"/>
      </w:tabs>
      <w:ind w:left="0" w:firstLine="0"/>
    </w:pPr>
  </w:style>
  <w:style w:type="paragraph" w:customStyle="1" w:styleId="AnxHead">
    <w:name w:val="AnxHead"/>
    <w:basedOn w:val="DocText"/>
    <w:next w:val="Normal"/>
    <w:rsid w:val="00B90CA0"/>
    <w:pPr>
      <w:pageBreakBefore/>
      <w:numPr>
        <w:numId w:val="31"/>
      </w:numPr>
      <w:tabs>
        <w:tab w:val="num" w:pos="720"/>
      </w:tabs>
      <w:ind w:left="720" w:hanging="720"/>
      <w:jc w:val="center"/>
    </w:pPr>
    <w:rPr>
      <w:b/>
      <w:caps/>
    </w:rPr>
  </w:style>
  <w:style w:type="paragraph" w:customStyle="1" w:styleId="Num1L1">
    <w:name w:val="Num1L1"/>
    <w:basedOn w:val="DocText"/>
    <w:next w:val="DocTextL1"/>
    <w:rsid w:val="00B90CA0"/>
    <w:pPr>
      <w:keepNext/>
      <w:numPr>
        <w:numId w:val="32"/>
      </w:numPr>
      <w:tabs>
        <w:tab w:val="num" w:pos="720"/>
      </w:tabs>
      <w:outlineLvl w:val="0"/>
    </w:pPr>
  </w:style>
  <w:style w:type="paragraph" w:customStyle="1" w:styleId="DefHead">
    <w:name w:val="DefHead"/>
    <w:basedOn w:val="DocText"/>
    <w:next w:val="DocText"/>
    <w:rsid w:val="00B90CA0"/>
    <w:pPr>
      <w:numPr>
        <w:numId w:val="34"/>
      </w:numPr>
      <w:tabs>
        <w:tab w:val="num" w:pos="720"/>
      </w:tabs>
      <w:ind w:left="720" w:hanging="720"/>
    </w:pPr>
  </w:style>
  <w:style w:type="paragraph" w:customStyle="1" w:styleId="Num2L1">
    <w:name w:val="Num2L1"/>
    <w:basedOn w:val="DocText"/>
    <w:next w:val="DocText"/>
    <w:uiPriority w:val="99"/>
    <w:rsid w:val="00B90CA0"/>
    <w:pPr>
      <w:keepNext/>
      <w:numPr>
        <w:numId w:val="33"/>
      </w:numPr>
      <w:tabs>
        <w:tab w:val="num" w:pos="720"/>
      </w:tabs>
      <w:ind w:left="720" w:hanging="720"/>
      <w:outlineLvl w:val="0"/>
    </w:pPr>
  </w:style>
  <w:style w:type="character" w:styleId="CommentReference">
    <w:name w:val="annotation reference"/>
    <w:basedOn w:val="DefaultParagraphFont"/>
    <w:uiPriority w:val="99"/>
    <w:unhideWhenUsed/>
    <w:rsid w:val="00B90CA0"/>
    <w:rPr>
      <w:sz w:val="16"/>
      <w:szCs w:val="16"/>
      <w:lang w:val="cs-CZ"/>
    </w:rPr>
  </w:style>
  <w:style w:type="paragraph" w:styleId="Revision">
    <w:name w:val="Revision"/>
    <w:hidden/>
    <w:uiPriority w:val="99"/>
    <w:semiHidden/>
    <w:rsid w:val="00B90CA0"/>
    <w:pPr>
      <w:spacing w:line="240" w:lineRule="auto"/>
    </w:pPr>
    <w:rPr>
      <w:rFonts w:cs="Times New Roman"/>
    </w:rPr>
  </w:style>
  <w:style w:type="paragraph" w:customStyle="1" w:styleId="DefL1">
    <w:name w:val="DefL1"/>
    <w:basedOn w:val="DocText"/>
    <w:next w:val="DocTextL1"/>
    <w:rsid w:val="00B90CA0"/>
    <w:pPr>
      <w:numPr>
        <w:ilvl w:val="1"/>
        <w:numId w:val="34"/>
      </w:numPr>
      <w:tabs>
        <w:tab w:val="num" w:pos="720"/>
      </w:tabs>
    </w:pPr>
  </w:style>
  <w:style w:type="paragraph" w:customStyle="1" w:styleId="DefL2">
    <w:name w:val="DefL2"/>
    <w:basedOn w:val="DocText"/>
    <w:next w:val="DocTextL2"/>
    <w:rsid w:val="00B90CA0"/>
    <w:pPr>
      <w:numPr>
        <w:ilvl w:val="2"/>
        <w:numId w:val="34"/>
      </w:numPr>
      <w:tabs>
        <w:tab w:val="num" w:pos="720"/>
      </w:tabs>
      <w:spacing w:line="260" w:lineRule="atLeast"/>
      <w:ind w:left="720"/>
    </w:pPr>
  </w:style>
  <w:style w:type="paragraph" w:customStyle="1" w:styleId="DefL3">
    <w:name w:val="DefL3"/>
    <w:basedOn w:val="DocText"/>
    <w:next w:val="DocTextL2"/>
    <w:rsid w:val="00B90CA0"/>
    <w:pPr>
      <w:numPr>
        <w:ilvl w:val="3"/>
        <w:numId w:val="34"/>
      </w:numPr>
      <w:tabs>
        <w:tab w:val="num" w:pos="720"/>
      </w:tabs>
      <w:spacing w:line="260" w:lineRule="atLeast"/>
      <w:ind w:left="720"/>
    </w:pPr>
  </w:style>
  <w:style w:type="paragraph" w:customStyle="1" w:styleId="DefL4">
    <w:name w:val="DefL4"/>
    <w:basedOn w:val="DocText"/>
    <w:next w:val="DocTextL3"/>
    <w:rsid w:val="00B90CA0"/>
    <w:pPr>
      <w:numPr>
        <w:ilvl w:val="4"/>
        <w:numId w:val="34"/>
      </w:numPr>
      <w:tabs>
        <w:tab w:val="num" w:pos="720"/>
      </w:tabs>
      <w:spacing w:line="260" w:lineRule="atLeast"/>
      <w:ind w:left="720"/>
    </w:pPr>
  </w:style>
  <w:style w:type="paragraph" w:customStyle="1" w:styleId="DefL5">
    <w:name w:val="DefL5"/>
    <w:basedOn w:val="DocText"/>
    <w:next w:val="DocTextL3"/>
    <w:rsid w:val="00B90CA0"/>
    <w:pPr>
      <w:numPr>
        <w:ilvl w:val="5"/>
        <w:numId w:val="34"/>
      </w:numPr>
      <w:tabs>
        <w:tab w:val="num" w:pos="720"/>
      </w:tabs>
      <w:spacing w:line="260" w:lineRule="atLeast"/>
      <w:ind w:left="720"/>
    </w:pPr>
  </w:style>
  <w:style w:type="paragraph" w:customStyle="1" w:styleId="DefL6">
    <w:name w:val="DefL6"/>
    <w:basedOn w:val="DocText"/>
    <w:next w:val="DocTextL4"/>
    <w:rsid w:val="00B90CA0"/>
    <w:pPr>
      <w:numPr>
        <w:ilvl w:val="6"/>
        <w:numId w:val="34"/>
      </w:numPr>
      <w:tabs>
        <w:tab w:val="num" w:pos="720"/>
      </w:tabs>
      <w:spacing w:line="260" w:lineRule="atLeast"/>
      <w:ind w:left="720"/>
    </w:pPr>
  </w:style>
  <w:style w:type="paragraph" w:customStyle="1" w:styleId="DefL7">
    <w:name w:val="DefL7"/>
    <w:basedOn w:val="DocText"/>
    <w:next w:val="DocTextL4"/>
    <w:rsid w:val="00B90CA0"/>
    <w:pPr>
      <w:numPr>
        <w:ilvl w:val="7"/>
        <w:numId w:val="34"/>
      </w:numPr>
      <w:tabs>
        <w:tab w:val="num" w:pos="720"/>
      </w:tabs>
      <w:spacing w:line="260" w:lineRule="atLeast"/>
      <w:ind w:left="720"/>
    </w:pPr>
  </w:style>
  <w:style w:type="paragraph" w:customStyle="1" w:styleId="DefL8">
    <w:name w:val="DefL8"/>
    <w:basedOn w:val="DocText"/>
    <w:next w:val="DocTextL5"/>
    <w:rsid w:val="00B90CA0"/>
    <w:pPr>
      <w:numPr>
        <w:ilvl w:val="8"/>
        <w:numId w:val="34"/>
      </w:numPr>
      <w:tabs>
        <w:tab w:val="num" w:pos="720"/>
      </w:tabs>
      <w:spacing w:line="260" w:lineRule="atLeast"/>
      <w:ind w:left="720"/>
    </w:pPr>
  </w:style>
  <w:style w:type="paragraph" w:customStyle="1" w:styleId="OutNum1">
    <w:name w:val="OutNum1"/>
    <w:basedOn w:val="ClientNormal"/>
    <w:rsid w:val="00B90CA0"/>
    <w:pPr>
      <w:keepNext/>
      <w:numPr>
        <w:numId w:val="35"/>
      </w:numPr>
      <w:spacing w:before="240" w:line="260" w:lineRule="atLeast"/>
      <w:ind w:left="720" w:hanging="720"/>
      <w:jc w:val="both"/>
    </w:pPr>
    <w:rPr>
      <w:rFonts w:ascii="Times New Roman Bold" w:hAnsi="Times New Roman Bold"/>
      <w:b/>
      <w:caps/>
    </w:rPr>
  </w:style>
  <w:style w:type="paragraph" w:customStyle="1" w:styleId="OutNum2">
    <w:name w:val="OutNum2"/>
    <w:basedOn w:val="ClientNormal"/>
    <w:rsid w:val="00B90CA0"/>
    <w:pPr>
      <w:keepNext/>
      <w:numPr>
        <w:ilvl w:val="1"/>
        <w:numId w:val="35"/>
      </w:numPr>
      <w:tabs>
        <w:tab w:val="clear" w:pos="720"/>
      </w:tabs>
      <w:spacing w:before="240" w:line="260" w:lineRule="atLeast"/>
      <w:ind w:left="1797" w:hanging="1077"/>
      <w:jc w:val="both"/>
    </w:pPr>
    <w:rPr>
      <w:b/>
      <w:u w:val="single"/>
    </w:rPr>
  </w:style>
  <w:style w:type="paragraph" w:customStyle="1" w:styleId="OutNum3">
    <w:name w:val="OutNum3"/>
    <w:basedOn w:val="ClientNormal"/>
    <w:rsid w:val="00B90CA0"/>
    <w:pPr>
      <w:keepNext/>
      <w:numPr>
        <w:ilvl w:val="2"/>
        <w:numId w:val="35"/>
      </w:numPr>
      <w:tabs>
        <w:tab w:val="clear" w:pos="720"/>
        <w:tab w:val="num" w:pos="0"/>
      </w:tabs>
      <w:spacing w:before="240" w:line="260" w:lineRule="atLeast"/>
      <w:ind w:left="0" w:firstLine="0"/>
      <w:jc w:val="both"/>
    </w:pPr>
    <w:rPr>
      <w:b/>
    </w:rPr>
  </w:style>
  <w:style w:type="paragraph" w:customStyle="1" w:styleId="OutNum4">
    <w:name w:val="OutNum4"/>
    <w:basedOn w:val="ClientNormal"/>
    <w:rsid w:val="00B90CA0"/>
    <w:pPr>
      <w:keepNext/>
      <w:numPr>
        <w:ilvl w:val="3"/>
        <w:numId w:val="35"/>
      </w:numPr>
      <w:tabs>
        <w:tab w:val="clear" w:pos="720"/>
        <w:tab w:val="num" w:pos="0"/>
      </w:tabs>
      <w:spacing w:before="240" w:line="260" w:lineRule="atLeast"/>
      <w:ind w:left="0" w:firstLine="0"/>
      <w:jc w:val="both"/>
    </w:pPr>
    <w:rPr>
      <w:b/>
      <w:i/>
    </w:rPr>
  </w:style>
  <w:style w:type="paragraph" w:customStyle="1" w:styleId="OutNum5">
    <w:name w:val="OutNum5"/>
    <w:basedOn w:val="ClientNormal"/>
    <w:rsid w:val="00B90CA0"/>
    <w:pPr>
      <w:numPr>
        <w:ilvl w:val="4"/>
        <w:numId w:val="35"/>
      </w:numPr>
      <w:tabs>
        <w:tab w:val="clear" w:pos="720"/>
        <w:tab w:val="num" w:pos="0"/>
      </w:tabs>
      <w:spacing w:before="240" w:line="260" w:lineRule="atLeast"/>
      <w:ind w:left="0" w:firstLine="0"/>
      <w:jc w:val="both"/>
    </w:pPr>
  </w:style>
  <w:style w:type="paragraph" w:customStyle="1" w:styleId="OutNum6">
    <w:name w:val="OutNum6"/>
    <w:basedOn w:val="ClientNormal"/>
    <w:rsid w:val="00B90CA0"/>
    <w:pPr>
      <w:numPr>
        <w:ilvl w:val="5"/>
        <w:numId w:val="35"/>
      </w:numPr>
      <w:tabs>
        <w:tab w:val="clear" w:pos="1440"/>
        <w:tab w:val="num" w:pos="0"/>
      </w:tabs>
      <w:spacing w:before="240" w:line="260" w:lineRule="atLeast"/>
      <w:ind w:left="0" w:firstLine="0"/>
      <w:jc w:val="both"/>
    </w:pPr>
  </w:style>
  <w:style w:type="paragraph" w:customStyle="1" w:styleId="OutNum7">
    <w:name w:val="OutNum7"/>
    <w:basedOn w:val="ClientNormal"/>
    <w:rsid w:val="00B90CA0"/>
    <w:pPr>
      <w:keepNext/>
      <w:numPr>
        <w:ilvl w:val="6"/>
        <w:numId w:val="35"/>
      </w:numPr>
      <w:tabs>
        <w:tab w:val="clear" w:pos="720"/>
        <w:tab w:val="num" w:pos="0"/>
      </w:tabs>
      <w:spacing w:before="240" w:line="260" w:lineRule="atLeast"/>
      <w:ind w:left="0" w:firstLine="0"/>
      <w:jc w:val="both"/>
    </w:pPr>
    <w:rPr>
      <w:b/>
    </w:rPr>
  </w:style>
  <w:style w:type="paragraph" w:styleId="Index1">
    <w:name w:val="index 1"/>
    <w:basedOn w:val="Normal"/>
    <w:next w:val="Normal"/>
    <w:autoRedefine/>
    <w:uiPriority w:val="99"/>
    <w:semiHidden/>
    <w:unhideWhenUsed/>
    <w:rsid w:val="00B90CA0"/>
    <w:pPr>
      <w:ind w:left="220" w:hanging="220"/>
    </w:pPr>
    <w:rPr>
      <w:rFonts w:ascii="Times New Roman" w:eastAsiaTheme="minorHAnsi" w:hAnsi="Times New Roman"/>
      <w:sz w:val="22"/>
      <w:szCs w:val="22"/>
      <w:lang w:val="en-GB" w:eastAsia="en-US"/>
    </w:rPr>
  </w:style>
  <w:style w:type="character" w:customStyle="1" w:styleId="DocTextChar">
    <w:name w:val="DocText Char"/>
    <w:link w:val="DocText"/>
    <w:rsid w:val="00B90CA0"/>
    <w:rPr>
      <w:rFonts w:cs="Times New Roman"/>
    </w:rPr>
  </w:style>
  <w:style w:type="character" w:styleId="FootnoteReference">
    <w:name w:val="footnote reference"/>
    <w:basedOn w:val="DefaultParagraphFont"/>
    <w:uiPriority w:val="99"/>
    <w:unhideWhenUsed/>
    <w:rsid w:val="00B90CA0"/>
    <w:rPr>
      <w:vertAlign w:val="superscript"/>
    </w:rPr>
  </w:style>
  <w:style w:type="character" w:customStyle="1" w:styleId="AODocTxtChar">
    <w:name w:val="AODocTxt Char"/>
    <w:basedOn w:val="DefaultParagraphFont"/>
    <w:link w:val="AODocTxt"/>
    <w:rsid w:val="00B90CA0"/>
    <w:rPr>
      <w:rFonts w:cs="Times New Roman"/>
      <w:lang w:val="cs-CZ"/>
    </w:rPr>
  </w:style>
  <w:style w:type="paragraph" w:customStyle="1" w:styleId="Num1L2">
    <w:name w:val="Num1L2"/>
    <w:basedOn w:val="DocText"/>
    <w:next w:val="DocTextL1"/>
    <w:rsid w:val="00B90CA0"/>
    <w:pPr>
      <w:keepNext/>
      <w:numPr>
        <w:numId w:val="0"/>
      </w:numPr>
      <w:tabs>
        <w:tab w:val="num" w:pos="720"/>
      </w:tabs>
      <w:spacing w:line="260" w:lineRule="atLeast"/>
      <w:ind w:left="720" w:hanging="720"/>
    </w:pPr>
    <w:rPr>
      <w:rFonts w:eastAsia="Batang"/>
    </w:rPr>
  </w:style>
  <w:style w:type="paragraph" w:customStyle="1" w:styleId="Num1L3">
    <w:name w:val="Num1L3"/>
    <w:basedOn w:val="DocText"/>
    <w:next w:val="DocTextL2"/>
    <w:rsid w:val="00B90CA0"/>
    <w:pPr>
      <w:numPr>
        <w:numId w:val="0"/>
      </w:numPr>
      <w:tabs>
        <w:tab w:val="num" w:pos="720"/>
      </w:tabs>
      <w:spacing w:line="260" w:lineRule="atLeast"/>
      <w:ind w:left="720" w:hanging="720"/>
    </w:pPr>
    <w:rPr>
      <w:rFonts w:eastAsia="Batang"/>
    </w:rPr>
  </w:style>
  <w:style w:type="paragraph" w:customStyle="1" w:styleId="Num1L4">
    <w:name w:val="Num1L4"/>
    <w:basedOn w:val="DocText"/>
    <w:next w:val="DocTextL2"/>
    <w:rsid w:val="00B90CA0"/>
    <w:pPr>
      <w:numPr>
        <w:numId w:val="0"/>
      </w:numPr>
      <w:tabs>
        <w:tab w:val="num" w:pos="720"/>
      </w:tabs>
      <w:spacing w:line="260" w:lineRule="atLeast"/>
      <w:ind w:left="720" w:hanging="720"/>
    </w:pPr>
    <w:rPr>
      <w:rFonts w:eastAsia="Batang"/>
    </w:rPr>
  </w:style>
  <w:style w:type="paragraph" w:customStyle="1" w:styleId="Num1L5">
    <w:name w:val="Num1L5"/>
    <w:basedOn w:val="DocText"/>
    <w:next w:val="DocTextL3"/>
    <w:rsid w:val="00B90CA0"/>
    <w:pPr>
      <w:numPr>
        <w:numId w:val="0"/>
      </w:numPr>
      <w:tabs>
        <w:tab w:val="num" w:pos="720"/>
      </w:tabs>
      <w:spacing w:line="260" w:lineRule="atLeast"/>
      <w:ind w:left="720" w:hanging="720"/>
    </w:pPr>
    <w:rPr>
      <w:rFonts w:eastAsia="Batang"/>
    </w:rPr>
  </w:style>
  <w:style w:type="paragraph" w:customStyle="1" w:styleId="Num1L6">
    <w:name w:val="Num1L6"/>
    <w:basedOn w:val="DocText"/>
    <w:next w:val="DocTextL3"/>
    <w:rsid w:val="00B90CA0"/>
    <w:pPr>
      <w:numPr>
        <w:numId w:val="0"/>
      </w:numPr>
      <w:tabs>
        <w:tab w:val="num" w:pos="720"/>
      </w:tabs>
      <w:spacing w:line="260" w:lineRule="atLeast"/>
      <w:ind w:left="720" w:hanging="720"/>
    </w:pPr>
    <w:rPr>
      <w:rFonts w:eastAsia="Batang"/>
    </w:rPr>
  </w:style>
  <w:style w:type="paragraph" w:customStyle="1" w:styleId="Num1L7">
    <w:name w:val="Num1L7"/>
    <w:basedOn w:val="DocText"/>
    <w:next w:val="DocTextL4"/>
    <w:rsid w:val="00B90CA0"/>
    <w:pPr>
      <w:numPr>
        <w:numId w:val="0"/>
      </w:numPr>
      <w:tabs>
        <w:tab w:val="num" w:pos="720"/>
      </w:tabs>
      <w:spacing w:line="260" w:lineRule="atLeast"/>
      <w:ind w:left="720" w:hanging="720"/>
    </w:pPr>
    <w:rPr>
      <w:rFonts w:eastAsia="Batang"/>
    </w:rPr>
  </w:style>
  <w:style w:type="paragraph" w:customStyle="1" w:styleId="Num1L8">
    <w:name w:val="Num1L8"/>
    <w:basedOn w:val="DocText"/>
    <w:next w:val="DocTextL4"/>
    <w:rsid w:val="00B90CA0"/>
    <w:pPr>
      <w:numPr>
        <w:numId w:val="0"/>
      </w:numPr>
      <w:tabs>
        <w:tab w:val="num" w:pos="720"/>
      </w:tabs>
      <w:spacing w:line="260" w:lineRule="atLeast"/>
      <w:ind w:left="720" w:hanging="720"/>
    </w:pPr>
    <w:rPr>
      <w:rFonts w:eastAsia="Batang"/>
    </w:rPr>
  </w:style>
  <w:style w:type="paragraph" w:customStyle="1" w:styleId="Num1L9">
    <w:name w:val="Num1L9"/>
    <w:basedOn w:val="DocText"/>
    <w:next w:val="DocTextL5"/>
    <w:rsid w:val="00B90CA0"/>
    <w:pPr>
      <w:numPr>
        <w:numId w:val="0"/>
      </w:numPr>
      <w:tabs>
        <w:tab w:val="num" w:pos="720"/>
      </w:tabs>
      <w:spacing w:line="260" w:lineRule="atLeast"/>
      <w:ind w:left="720" w:hanging="720"/>
    </w:pPr>
    <w:rPr>
      <w:rFonts w:eastAsia="Batang"/>
    </w:rPr>
  </w:style>
  <w:style w:type="paragraph" w:customStyle="1" w:styleId="Num2L2">
    <w:name w:val="Num2L2"/>
    <w:basedOn w:val="DocText"/>
    <w:next w:val="DocTextL1"/>
    <w:uiPriority w:val="99"/>
    <w:rsid w:val="00B90CA0"/>
    <w:pPr>
      <w:numPr>
        <w:numId w:val="0"/>
      </w:numPr>
      <w:tabs>
        <w:tab w:val="num" w:pos="0"/>
      </w:tabs>
      <w:outlineLvl w:val="1"/>
    </w:pPr>
    <w:rPr>
      <w:rFonts w:eastAsia="Batang"/>
    </w:rPr>
  </w:style>
  <w:style w:type="paragraph" w:customStyle="1" w:styleId="Num2L3">
    <w:name w:val="Num2L3"/>
    <w:basedOn w:val="DocText"/>
    <w:next w:val="DocTextL2"/>
    <w:uiPriority w:val="99"/>
    <w:rsid w:val="00B90CA0"/>
    <w:pPr>
      <w:numPr>
        <w:numId w:val="0"/>
      </w:numPr>
      <w:tabs>
        <w:tab w:val="num" w:pos="0"/>
      </w:tabs>
      <w:spacing w:line="260" w:lineRule="atLeast"/>
    </w:pPr>
    <w:rPr>
      <w:rFonts w:eastAsia="Batang"/>
    </w:rPr>
  </w:style>
  <w:style w:type="paragraph" w:customStyle="1" w:styleId="Num2L4">
    <w:name w:val="Num2L4"/>
    <w:basedOn w:val="DocText"/>
    <w:next w:val="DocTextL2"/>
    <w:uiPriority w:val="99"/>
    <w:rsid w:val="00B90CA0"/>
    <w:pPr>
      <w:numPr>
        <w:numId w:val="0"/>
      </w:numPr>
      <w:tabs>
        <w:tab w:val="num" w:pos="0"/>
      </w:tabs>
      <w:spacing w:line="260" w:lineRule="atLeast"/>
    </w:pPr>
    <w:rPr>
      <w:rFonts w:eastAsia="Batang"/>
    </w:rPr>
  </w:style>
  <w:style w:type="paragraph" w:customStyle="1" w:styleId="Num2L5">
    <w:name w:val="Num2L5"/>
    <w:basedOn w:val="DocText"/>
    <w:next w:val="DocTextL3"/>
    <w:uiPriority w:val="99"/>
    <w:rsid w:val="00B90CA0"/>
    <w:pPr>
      <w:numPr>
        <w:numId w:val="0"/>
      </w:numPr>
      <w:tabs>
        <w:tab w:val="num" w:pos="0"/>
      </w:tabs>
      <w:spacing w:line="260" w:lineRule="atLeast"/>
    </w:pPr>
    <w:rPr>
      <w:rFonts w:eastAsia="Batang"/>
    </w:rPr>
  </w:style>
  <w:style w:type="paragraph" w:customStyle="1" w:styleId="Num2L6">
    <w:name w:val="Num2L6"/>
    <w:basedOn w:val="DocText"/>
    <w:next w:val="DocTextL3"/>
    <w:uiPriority w:val="99"/>
    <w:rsid w:val="00B90CA0"/>
    <w:pPr>
      <w:numPr>
        <w:numId w:val="0"/>
      </w:numPr>
      <w:tabs>
        <w:tab w:val="num" w:pos="0"/>
      </w:tabs>
      <w:spacing w:line="260" w:lineRule="atLeast"/>
    </w:pPr>
    <w:rPr>
      <w:rFonts w:eastAsia="Batang"/>
    </w:rPr>
  </w:style>
  <w:style w:type="paragraph" w:customStyle="1" w:styleId="Num2L7">
    <w:name w:val="Num2L7"/>
    <w:basedOn w:val="DocText"/>
    <w:next w:val="DocTextL4"/>
    <w:uiPriority w:val="99"/>
    <w:rsid w:val="00B90CA0"/>
    <w:pPr>
      <w:numPr>
        <w:numId w:val="0"/>
      </w:numPr>
      <w:tabs>
        <w:tab w:val="num" w:pos="0"/>
      </w:tabs>
      <w:spacing w:line="260" w:lineRule="atLeast"/>
    </w:pPr>
    <w:rPr>
      <w:rFonts w:eastAsia="Batang"/>
    </w:rPr>
  </w:style>
  <w:style w:type="paragraph" w:customStyle="1" w:styleId="Num2L8">
    <w:name w:val="Num2L8"/>
    <w:basedOn w:val="DocText"/>
    <w:next w:val="DocTextL4"/>
    <w:uiPriority w:val="99"/>
    <w:rsid w:val="00B90CA0"/>
    <w:pPr>
      <w:numPr>
        <w:numId w:val="0"/>
      </w:numPr>
      <w:tabs>
        <w:tab w:val="num" w:pos="0"/>
      </w:tabs>
      <w:spacing w:line="260" w:lineRule="atLeast"/>
    </w:pPr>
    <w:rPr>
      <w:rFonts w:eastAsia="Batang"/>
    </w:rPr>
  </w:style>
  <w:style w:type="paragraph" w:customStyle="1" w:styleId="Num2L9">
    <w:name w:val="Num2L9"/>
    <w:basedOn w:val="DocText"/>
    <w:next w:val="DocTextL5"/>
    <w:uiPriority w:val="99"/>
    <w:rsid w:val="00B90CA0"/>
    <w:pPr>
      <w:numPr>
        <w:numId w:val="0"/>
      </w:numPr>
      <w:tabs>
        <w:tab w:val="num" w:pos="0"/>
      </w:tabs>
      <w:spacing w:line="260" w:lineRule="atLeast"/>
    </w:pPr>
    <w:rPr>
      <w:rFonts w:eastAsia="Batang"/>
    </w:rPr>
  </w:style>
  <w:style w:type="paragraph" w:customStyle="1" w:styleId="AnxTitle">
    <w:name w:val="AnxTitle"/>
    <w:basedOn w:val="DocText"/>
    <w:next w:val="DocText"/>
    <w:rsid w:val="00B90CA0"/>
    <w:pPr>
      <w:numPr>
        <w:numId w:val="0"/>
      </w:numPr>
      <w:tabs>
        <w:tab w:val="num" w:pos="720"/>
      </w:tabs>
      <w:spacing w:line="260" w:lineRule="atLeast"/>
      <w:ind w:left="720" w:hanging="720"/>
      <w:jc w:val="center"/>
    </w:pPr>
    <w:rPr>
      <w:rFonts w:eastAsia="Batang"/>
      <w:b/>
      <w:caps/>
    </w:rPr>
  </w:style>
  <w:style w:type="paragraph" w:customStyle="1" w:styleId="AnxPartTitle">
    <w:name w:val="AnxPartTitle"/>
    <w:basedOn w:val="DocText"/>
    <w:next w:val="DocText"/>
    <w:rsid w:val="00B90CA0"/>
    <w:pPr>
      <w:keepNext/>
      <w:numPr>
        <w:numId w:val="0"/>
      </w:numPr>
      <w:tabs>
        <w:tab w:val="num" w:pos="1440"/>
      </w:tabs>
      <w:spacing w:line="260" w:lineRule="atLeast"/>
      <w:ind w:left="1440" w:hanging="720"/>
      <w:jc w:val="center"/>
    </w:pPr>
    <w:rPr>
      <w:rFonts w:eastAsia="Batang"/>
      <w:b/>
    </w:rPr>
  </w:style>
  <w:style w:type="paragraph" w:customStyle="1" w:styleId="AnxPartHead">
    <w:name w:val="AnxPartHead"/>
    <w:basedOn w:val="DocText"/>
    <w:next w:val="AnxPartTitle"/>
    <w:rsid w:val="00B90CA0"/>
    <w:pPr>
      <w:keepNext/>
      <w:numPr>
        <w:numId w:val="0"/>
      </w:numPr>
      <w:tabs>
        <w:tab w:val="num" w:pos="720"/>
      </w:tabs>
      <w:spacing w:line="260" w:lineRule="atLeast"/>
      <w:ind w:left="720" w:hanging="720"/>
      <w:jc w:val="center"/>
    </w:pPr>
    <w:rPr>
      <w:rFonts w:eastAsia="Batang"/>
      <w:b/>
      <w:caps/>
    </w:rPr>
  </w:style>
  <w:style w:type="paragraph" w:customStyle="1" w:styleId="BulletL20">
    <w:name w:val="BulletL2"/>
    <w:basedOn w:val="DocText"/>
    <w:rsid w:val="00B90CA0"/>
    <w:pPr>
      <w:numPr>
        <w:numId w:val="0"/>
      </w:numPr>
      <w:tabs>
        <w:tab w:val="num" w:pos="720"/>
      </w:tabs>
      <w:spacing w:line="260" w:lineRule="atLeast"/>
      <w:ind w:left="720" w:hanging="720"/>
    </w:pPr>
    <w:rPr>
      <w:rFonts w:eastAsia="Batang"/>
    </w:rPr>
  </w:style>
  <w:style w:type="paragraph" w:customStyle="1" w:styleId="BulletL30">
    <w:name w:val="BulletL3"/>
    <w:basedOn w:val="DocText"/>
    <w:rsid w:val="00B90CA0"/>
    <w:pPr>
      <w:numPr>
        <w:numId w:val="0"/>
      </w:numPr>
      <w:tabs>
        <w:tab w:val="num" w:pos="720"/>
      </w:tabs>
      <w:spacing w:line="260" w:lineRule="atLeast"/>
      <w:ind w:left="720" w:hanging="720"/>
    </w:pPr>
    <w:rPr>
      <w:rFonts w:eastAsia="Batang"/>
    </w:rPr>
  </w:style>
  <w:style w:type="paragraph" w:customStyle="1" w:styleId="BulletL40">
    <w:name w:val="BulletL4"/>
    <w:basedOn w:val="DocText"/>
    <w:rsid w:val="00B90CA0"/>
    <w:pPr>
      <w:numPr>
        <w:numId w:val="0"/>
      </w:numPr>
      <w:tabs>
        <w:tab w:val="num" w:pos="1440"/>
      </w:tabs>
      <w:spacing w:line="260" w:lineRule="atLeast"/>
      <w:ind w:left="1440" w:hanging="720"/>
    </w:pPr>
    <w:rPr>
      <w:rFonts w:eastAsia="Batang"/>
    </w:rPr>
  </w:style>
  <w:style w:type="paragraph" w:customStyle="1" w:styleId="BulletL50">
    <w:name w:val="BulletL5"/>
    <w:basedOn w:val="DocText"/>
    <w:rsid w:val="00B90CA0"/>
    <w:pPr>
      <w:numPr>
        <w:numId w:val="0"/>
      </w:numPr>
      <w:tabs>
        <w:tab w:val="num" w:pos="1440"/>
      </w:tabs>
      <w:spacing w:line="260" w:lineRule="atLeast"/>
      <w:ind w:left="1440" w:hanging="720"/>
    </w:pPr>
    <w:rPr>
      <w:rFonts w:eastAsia="Batang"/>
    </w:rPr>
  </w:style>
  <w:style w:type="paragraph" w:customStyle="1" w:styleId="BulletL60">
    <w:name w:val="BulletL6"/>
    <w:basedOn w:val="DocText"/>
    <w:rsid w:val="00B90CA0"/>
    <w:pPr>
      <w:numPr>
        <w:numId w:val="0"/>
      </w:numPr>
      <w:tabs>
        <w:tab w:val="num" w:pos="2160"/>
      </w:tabs>
      <w:spacing w:line="260" w:lineRule="atLeast"/>
      <w:ind w:left="2160" w:hanging="720"/>
    </w:pPr>
    <w:rPr>
      <w:rFonts w:eastAsia="Batang"/>
    </w:rPr>
  </w:style>
  <w:style w:type="paragraph" w:customStyle="1" w:styleId="BulletL70">
    <w:name w:val="BulletL7"/>
    <w:basedOn w:val="DocText"/>
    <w:rsid w:val="00B90CA0"/>
    <w:pPr>
      <w:numPr>
        <w:numId w:val="0"/>
      </w:numPr>
      <w:tabs>
        <w:tab w:val="num" w:pos="2160"/>
      </w:tabs>
      <w:spacing w:line="260" w:lineRule="atLeast"/>
      <w:ind w:left="2160" w:hanging="720"/>
    </w:pPr>
    <w:rPr>
      <w:rFonts w:eastAsia="Batang"/>
    </w:rPr>
  </w:style>
  <w:style w:type="paragraph" w:customStyle="1" w:styleId="BulletL80">
    <w:name w:val="BulletL8"/>
    <w:basedOn w:val="DocText"/>
    <w:rsid w:val="00B90CA0"/>
    <w:pPr>
      <w:numPr>
        <w:numId w:val="0"/>
      </w:numPr>
      <w:tabs>
        <w:tab w:val="num" w:pos="2880"/>
      </w:tabs>
      <w:spacing w:line="260" w:lineRule="atLeast"/>
      <w:ind w:left="2880" w:hanging="720"/>
    </w:pPr>
    <w:rPr>
      <w:rFonts w:eastAsia="Batang"/>
    </w:rPr>
  </w:style>
  <w:style w:type="paragraph" w:customStyle="1" w:styleId="BulletL90">
    <w:name w:val="BulletL9"/>
    <w:basedOn w:val="DocText"/>
    <w:rsid w:val="00B90CA0"/>
    <w:pPr>
      <w:numPr>
        <w:numId w:val="0"/>
      </w:numPr>
      <w:tabs>
        <w:tab w:val="num" w:pos="3600"/>
      </w:tabs>
      <w:spacing w:line="260" w:lineRule="atLeast"/>
      <w:ind w:left="3600" w:hanging="720"/>
    </w:pPr>
    <w:rPr>
      <w:rFonts w:eastAsia="Batang"/>
    </w:rPr>
  </w:style>
  <w:style w:type="paragraph" w:customStyle="1" w:styleId="Bullet1">
    <w:name w:val="Bullet1"/>
    <w:uiPriority w:val="99"/>
    <w:qFormat/>
    <w:rsid w:val="00B90CA0"/>
    <w:pPr>
      <w:numPr>
        <w:numId w:val="36"/>
      </w:numPr>
      <w:spacing w:before="120"/>
      <w:jc w:val="both"/>
    </w:pPr>
    <w:rPr>
      <w:rFonts w:eastAsia="Batang" w:cs="Times New Roman"/>
    </w:rPr>
  </w:style>
  <w:style w:type="paragraph" w:customStyle="1" w:styleId="Bullet2">
    <w:name w:val="Bullet2"/>
    <w:uiPriority w:val="99"/>
    <w:qFormat/>
    <w:rsid w:val="00B90CA0"/>
    <w:pPr>
      <w:numPr>
        <w:ilvl w:val="1"/>
        <w:numId w:val="36"/>
      </w:numPr>
      <w:spacing w:before="120"/>
      <w:jc w:val="both"/>
    </w:pPr>
    <w:rPr>
      <w:rFonts w:eastAsia="Batang" w:cs="Times New Roman"/>
    </w:rPr>
  </w:style>
  <w:style w:type="paragraph" w:customStyle="1" w:styleId="Level7">
    <w:name w:val="Level7"/>
    <w:uiPriority w:val="99"/>
    <w:qFormat/>
    <w:rsid w:val="00B90CA0"/>
    <w:pPr>
      <w:tabs>
        <w:tab w:val="num" w:pos="720"/>
      </w:tabs>
      <w:spacing w:before="120" w:line="240" w:lineRule="auto"/>
      <w:ind w:left="720" w:hanging="720"/>
      <w:jc w:val="both"/>
    </w:pPr>
    <w:rPr>
      <w:rFonts w:eastAsia="Calibri" w:cs="Times New Roman"/>
      <w:sz w:val="18"/>
      <w:lang w:val="cs-CZ"/>
    </w:rPr>
  </w:style>
  <w:style w:type="character" w:customStyle="1" w:styleId="ClientNormalChar">
    <w:name w:val="ClientNormal Char"/>
    <w:basedOn w:val="DefaultParagraphFont"/>
    <w:link w:val="ClientNormal"/>
    <w:rsid w:val="00B90CA0"/>
    <w:rPr>
      <w:rFonts w:cs="Times New Roman"/>
    </w:rPr>
  </w:style>
  <w:style w:type="paragraph" w:customStyle="1" w:styleId="Level8">
    <w:name w:val="Level8"/>
    <w:uiPriority w:val="99"/>
    <w:qFormat/>
    <w:rsid w:val="00B90CA0"/>
    <w:pPr>
      <w:tabs>
        <w:tab w:val="num" w:pos="720"/>
      </w:tabs>
      <w:spacing w:before="120" w:line="240" w:lineRule="auto"/>
      <w:ind w:left="720" w:hanging="720"/>
      <w:jc w:val="both"/>
    </w:pPr>
    <w:rPr>
      <w:rFonts w:eastAsia="Calibri" w:cs="Times New Roman"/>
      <w:sz w:val="18"/>
      <w:lang w:val="cs-CZ"/>
    </w:rPr>
  </w:style>
  <w:style w:type="paragraph" w:customStyle="1" w:styleId="Level9">
    <w:name w:val="Level9"/>
    <w:qFormat/>
    <w:rsid w:val="00B90CA0"/>
    <w:pPr>
      <w:tabs>
        <w:tab w:val="num" w:pos="720"/>
      </w:tabs>
      <w:spacing w:before="120" w:line="240" w:lineRule="auto"/>
      <w:ind w:left="720" w:hanging="720"/>
      <w:jc w:val="both"/>
    </w:pPr>
    <w:rPr>
      <w:rFonts w:eastAsia="Calibri" w:cs="Times New Roman"/>
      <w:sz w:val="18"/>
      <w:lang w:val="cs-CZ"/>
    </w:rPr>
  </w:style>
  <w:style w:type="paragraph" w:styleId="CommentSubject">
    <w:name w:val="annotation subject"/>
    <w:basedOn w:val="CommentText"/>
    <w:next w:val="CommentText"/>
    <w:link w:val="CommentSubjectChar"/>
    <w:uiPriority w:val="99"/>
    <w:semiHidden/>
    <w:unhideWhenUsed/>
    <w:rsid w:val="00B90CA0"/>
    <w:rPr>
      <w:rFonts w:ascii="Helv" w:eastAsia="Batang" w:hAnsi="Helv" w:cs="Helv"/>
      <w:b/>
      <w:color w:val="000000"/>
      <w:sz w:val="20"/>
    </w:rPr>
  </w:style>
  <w:style w:type="character" w:customStyle="1" w:styleId="CommentSubjectChar">
    <w:name w:val="Comment Subject Char"/>
    <w:basedOn w:val="CommentTextChar"/>
    <w:link w:val="CommentSubject"/>
    <w:uiPriority w:val="99"/>
    <w:semiHidden/>
    <w:rsid w:val="00B90CA0"/>
    <w:rPr>
      <w:rFonts w:ascii="Helv" w:eastAsia="Batang" w:hAnsi="Helv" w:cs="Helv"/>
      <w:b/>
      <w:color w:val="000000"/>
      <w:sz w:val="20"/>
      <w:szCs w:val="20"/>
      <w:lang w:val="cs-CZ"/>
    </w:rPr>
  </w:style>
  <w:style w:type="paragraph" w:customStyle="1" w:styleId="Docnormal">
    <w:name w:val="Docnormal"/>
    <w:qFormat/>
    <w:rsid w:val="00B90CA0"/>
    <w:pPr>
      <w:spacing w:line="240" w:lineRule="auto"/>
      <w:jc w:val="both"/>
    </w:pPr>
    <w:rPr>
      <w:rFonts w:cs="Times New Roman"/>
      <w:sz w:val="18"/>
      <w:lang w:val="en-US"/>
    </w:rPr>
  </w:style>
  <w:style w:type="character" w:styleId="FollowedHyperlink">
    <w:name w:val="FollowedHyperlink"/>
    <w:basedOn w:val="DefaultParagraphFont"/>
    <w:uiPriority w:val="99"/>
    <w:semiHidden/>
    <w:unhideWhenUsed/>
    <w:rsid w:val="00B90CA0"/>
    <w:rPr>
      <w:color w:val="9AD7DB" w:themeColor="followedHyperlink"/>
      <w:u w:val="single"/>
    </w:rPr>
  </w:style>
  <w:style w:type="paragraph" w:styleId="BodyText3">
    <w:name w:val="Body Text 3"/>
    <w:basedOn w:val="Normal"/>
    <w:link w:val="BodyText3Char"/>
    <w:uiPriority w:val="99"/>
    <w:semiHidden/>
    <w:unhideWhenUsed/>
    <w:rsid w:val="00B90CA0"/>
    <w:pPr>
      <w:spacing w:after="120"/>
    </w:pPr>
    <w:rPr>
      <w:rFonts w:ascii="Times New Roman" w:eastAsia="Batang" w:hAnsi="Times New Roman"/>
      <w:sz w:val="16"/>
      <w:szCs w:val="16"/>
      <w:lang w:val="en-GB" w:eastAsia="en-US"/>
    </w:rPr>
  </w:style>
  <w:style w:type="character" w:customStyle="1" w:styleId="BodyText3Char">
    <w:name w:val="Body Text 3 Char"/>
    <w:basedOn w:val="DefaultParagraphFont"/>
    <w:link w:val="BodyText3"/>
    <w:uiPriority w:val="99"/>
    <w:semiHidden/>
    <w:rsid w:val="00B90CA0"/>
    <w:rPr>
      <w:rFonts w:eastAsia="Batang" w:cs="Times New Roman"/>
      <w:sz w:val="16"/>
      <w:szCs w:val="16"/>
    </w:rPr>
  </w:style>
  <w:style w:type="paragraph" w:customStyle="1" w:styleId="Parties">
    <w:name w:val="Parties"/>
    <w:qFormat/>
    <w:rsid w:val="00B90CA0"/>
    <w:pPr>
      <w:numPr>
        <w:numId w:val="37"/>
      </w:numPr>
      <w:spacing w:before="240" w:after="200"/>
      <w:jc w:val="both"/>
    </w:pPr>
    <w:rPr>
      <w:rFonts w:cs="Times New Roman"/>
      <w:lang w:val="en-US"/>
    </w:rPr>
  </w:style>
  <w:style w:type="paragraph" w:styleId="NormalWeb">
    <w:name w:val="Normal (Web)"/>
    <w:basedOn w:val="Normal"/>
    <w:uiPriority w:val="99"/>
    <w:semiHidden/>
    <w:unhideWhenUsed/>
    <w:rsid w:val="00B90CA0"/>
    <w:pPr>
      <w:spacing w:before="100" w:beforeAutospacing="1" w:after="100" w:afterAutospacing="1"/>
    </w:pPr>
    <w:rPr>
      <w:rFonts w:ascii="Times New Roman" w:eastAsiaTheme="minorEastAsia" w:hAnsi="Times New Roman"/>
      <w:sz w:val="24"/>
      <w:szCs w:val="24"/>
      <w:lang w:val="en-GB" w:eastAsia="en-GB"/>
    </w:rPr>
  </w:style>
  <w:style w:type="character" w:customStyle="1" w:styleId="ListParagraphChar">
    <w:name w:val="List Paragraph Char"/>
    <w:basedOn w:val="DefaultParagraphFont"/>
    <w:link w:val="ListParagraph"/>
    <w:uiPriority w:val="34"/>
    <w:rsid w:val="00B90CA0"/>
    <w:rPr>
      <w:rFonts w:cs="Times New Roman"/>
    </w:rPr>
  </w:style>
  <w:style w:type="table" w:customStyle="1" w:styleId="TableGrid1">
    <w:name w:val="Table Grid1"/>
    <w:basedOn w:val="TableNormal"/>
    <w:next w:val="TableGrid"/>
    <w:uiPriority w:val="39"/>
    <w:rsid w:val="00B90C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
    <w:name w:val="Tdoct"/>
    <w:basedOn w:val="Level2"/>
    <w:rsid w:val="00B90CA0"/>
    <w:pPr>
      <w:pageBreakBefore/>
      <w:numPr>
        <w:ilvl w:val="0"/>
        <w:numId w:val="0"/>
      </w:numPr>
      <w:tabs>
        <w:tab w:val="num" w:pos="720"/>
      </w:tabs>
      <w:ind w:left="720" w:hanging="720"/>
    </w:pPr>
    <w:rPr>
      <w:lang w:val="cs-CZ"/>
    </w:rPr>
  </w:style>
  <w:style w:type="paragraph" w:customStyle="1" w:styleId="wText">
    <w:name w:val="wText"/>
    <w:basedOn w:val="Normal"/>
    <w:uiPriority w:val="2"/>
    <w:qFormat/>
    <w:rsid w:val="00B90CA0"/>
    <w:pPr>
      <w:spacing w:after="180"/>
      <w:jc w:val="both"/>
    </w:pPr>
    <w:rPr>
      <w:rFonts w:ascii="Times New Roman" w:hAnsi="Times New Roman"/>
      <w:sz w:val="22"/>
      <w:szCs w:val="24"/>
      <w:lang w:val="en-GB"/>
    </w:rPr>
  </w:style>
  <w:style w:type="numbering" w:customStyle="1" w:styleId="nadpis2">
    <w:name w:val="nadpis2"/>
    <w:rsid w:val="00B90CA0"/>
    <w:pPr>
      <w:numPr>
        <w:numId w:val="39"/>
      </w:numPr>
    </w:pPr>
  </w:style>
  <w:style w:type="numbering" w:customStyle="1" w:styleId="Odrka">
    <w:name w:val="Odrka"/>
    <w:rsid w:val="00B90CA0"/>
    <w:pPr>
      <w:numPr>
        <w:numId w:val="40"/>
      </w:numPr>
    </w:pPr>
  </w:style>
  <w:style w:type="paragraph" w:customStyle="1" w:styleId="Doctext0">
    <w:name w:val="Doctext"/>
    <w:qFormat/>
    <w:rsid w:val="00B90CA0"/>
    <w:pPr>
      <w:spacing w:before="240"/>
      <w:jc w:val="both"/>
    </w:pPr>
    <w:rPr>
      <w:rFonts w:eastAsia="Calibri" w:cs="Times New Roman"/>
      <w:lang w:val="en-US"/>
    </w:rPr>
  </w:style>
  <w:style w:type="paragraph" w:customStyle="1" w:styleId="Parties1">
    <w:name w:val="Parties1"/>
    <w:qFormat/>
    <w:rsid w:val="00B90CA0"/>
    <w:pPr>
      <w:numPr>
        <w:numId w:val="41"/>
      </w:numPr>
      <w:spacing w:before="240"/>
      <w:jc w:val="both"/>
    </w:pPr>
    <w:rPr>
      <w:rFonts w:eastAsia="Calibri" w:cs="Times New Roman"/>
    </w:rPr>
  </w:style>
  <w:style w:type="paragraph" w:customStyle="1" w:styleId="Doctext1">
    <w:name w:val="Doctext1"/>
    <w:qFormat/>
    <w:rsid w:val="00B90CA0"/>
    <w:pPr>
      <w:spacing w:before="240"/>
      <w:ind w:left="720"/>
      <w:jc w:val="both"/>
    </w:pPr>
    <w:rPr>
      <w:rFonts w:eastAsia="Calibri" w:cs="Times New Roman"/>
    </w:rPr>
  </w:style>
  <w:style w:type="paragraph" w:customStyle="1" w:styleId="CM1">
    <w:name w:val="CM1"/>
    <w:basedOn w:val="Normal"/>
    <w:next w:val="Normal"/>
    <w:uiPriority w:val="99"/>
    <w:rsid w:val="00B90CA0"/>
    <w:pPr>
      <w:autoSpaceDE w:val="0"/>
      <w:autoSpaceDN w:val="0"/>
      <w:adjustRightInd w:val="0"/>
    </w:pPr>
    <w:rPr>
      <w:rFonts w:ascii="Times New Roman" w:eastAsia="Batang" w:hAnsi="Times New Roman"/>
      <w:sz w:val="24"/>
      <w:szCs w:val="24"/>
      <w:lang w:eastAsia="en-US"/>
    </w:rPr>
  </w:style>
  <w:style w:type="character" w:styleId="EndnoteReference">
    <w:name w:val="endnote reference"/>
    <w:basedOn w:val="DefaultParagraphFont"/>
    <w:uiPriority w:val="99"/>
    <w:semiHidden/>
    <w:unhideWhenUsed/>
    <w:rsid w:val="00B90CA0"/>
    <w:rPr>
      <w:vertAlign w:val="superscript"/>
    </w:rPr>
  </w:style>
  <w:style w:type="table" w:styleId="LightList">
    <w:name w:val="Light List"/>
    <w:basedOn w:val="TableNormal"/>
    <w:uiPriority w:val="61"/>
    <w:rsid w:val="00B90CA0"/>
    <w:pPr>
      <w:spacing w:line="240" w:lineRule="auto"/>
    </w:pPr>
    <w:rPr>
      <w:rFonts w:eastAsia="Batang"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B90CA0"/>
    <w:pPr>
      <w:spacing w:line="240" w:lineRule="auto"/>
    </w:pPr>
    <w:rPr>
      <w:rFonts w:eastAsia="Batang"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B90CA0"/>
    <w:pPr>
      <w:spacing w:line="240" w:lineRule="auto"/>
    </w:pPr>
    <w:rPr>
      <w:rFonts w:eastAsia="Batang"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
    <w:name w:val="Medium List 1"/>
    <w:basedOn w:val="TableNormal"/>
    <w:uiPriority w:val="65"/>
    <w:rsid w:val="00B90CA0"/>
    <w:pPr>
      <w:spacing w:line="240" w:lineRule="auto"/>
    </w:pPr>
    <w:rPr>
      <w:rFonts w:eastAsia="Batang" w:cs="Times New Roman"/>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234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next w:val="LightList"/>
    <w:uiPriority w:val="61"/>
    <w:rsid w:val="00B90CA0"/>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
    <w:name w:val="Table Grid2"/>
    <w:basedOn w:val="TableNormal"/>
    <w:next w:val="TableGrid"/>
    <w:uiPriority w:val="59"/>
    <w:rsid w:val="00B90C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B90CA0"/>
  </w:style>
  <w:style w:type="paragraph" w:customStyle="1" w:styleId="KSBTxT">
    <w:name w:val="KSB TxT"/>
    <w:basedOn w:val="Normal"/>
    <w:link w:val="KSBTxTChar"/>
    <w:qFormat/>
    <w:rsid w:val="00B90CA0"/>
    <w:pPr>
      <w:suppressAutoHyphens/>
      <w:spacing w:before="240" w:line="260" w:lineRule="atLeast"/>
      <w:jc w:val="both"/>
    </w:pPr>
    <w:rPr>
      <w:rFonts w:ascii="Times New Roman" w:eastAsia="SimSun" w:hAnsi="Times New Roman"/>
      <w:sz w:val="22"/>
      <w:szCs w:val="22"/>
      <w:lang w:eastAsia="en-US"/>
    </w:rPr>
  </w:style>
  <w:style w:type="character" w:customStyle="1" w:styleId="KSBTxTChar">
    <w:name w:val="KSB TxT Char"/>
    <w:link w:val="KSBTxT"/>
    <w:rsid w:val="00B90CA0"/>
    <w:rPr>
      <w:rFonts w:eastAsia="SimSun" w:cs="Times New Roman"/>
      <w:lang w:val="cs-CZ"/>
    </w:rPr>
  </w:style>
  <w:style w:type="paragraph" w:customStyle="1" w:styleId="Styl3">
    <w:name w:val="Styl3"/>
    <w:basedOn w:val="Heading2"/>
    <w:qFormat/>
    <w:rsid w:val="00B90CA0"/>
    <w:pPr>
      <w:keepLines/>
      <w:widowControl w:val="0"/>
      <w:numPr>
        <w:ilvl w:val="3"/>
        <w:numId w:val="43"/>
      </w:numPr>
      <w:spacing w:before="40" w:after="120" w:line="240" w:lineRule="auto"/>
    </w:pPr>
    <w:rPr>
      <w:rFonts w:ascii="Arial" w:hAnsi="Arial" w:cs="Arial"/>
      <w:b w:val="0"/>
      <w:bCs w:val="0"/>
      <w:i/>
      <w:color w:val="000000"/>
      <w:sz w:val="18"/>
      <w:szCs w:val="18"/>
      <w:lang w:eastAsia="cs-CZ"/>
    </w:rPr>
  </w:style>
  <w:style w:type="character" w:customStyle="1" w:styleId="AODocTxtL1Char">
    <w:name w:val="AODocTxtL1 Char"/>
    <w:link w:val="AODocTxtL1"/>
    <w:rsid w:val="00B90CA0"/>
    <w:rPr>
      <w:rFonts w:cs="Times New Roman"/>
      <w:lang w:val="cs-CZ"/>
    </w:rPr>
  </w:style>
  <w:style w:type="paragraph" w:customStyle="1" w:styleId="DocTextL">
    <w:name w:val="DocTextL"/>
    <w:basedOn w:val="DocTextL1"/>
    <w:rsid w:val="00B90CA0"/>
    <w:pPr>
      <w:numPr>
        <w:ilvl w:val="0"/>
        <w:numId w:val="0"/>
      </w:numPr>
      <w:spacing w:line="260" w:lineRule="atLeast"/>
      <w:ind w:left="720" w:hanging="720"/>
    </w:pPr>
    <w:rPr>
      <w:rFonts w:eastAsia="Batang"/>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6970</Words>
  <Characters>41127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Raiffeisenbank a.s.</Company>
  <LinksUpToDate>false</LinksUpToDate>
  <CharactersWithSpaces>48001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Svoboda 2</dc:creator>
  <cp:lastModifiedBy>Miroslav Svoboda 2</cp:lastModifiedBy>
  <cp:revision>4</cp:revision>
  <dcterms:created xsi:type="dcterms:W3CDTF">2020-10-05T08:56:00Z</dcterms:created>
  <dcterms:modified xsi:type="dcterms:W3CDTF">2020-10-05T12:15:00Z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_src">
    <vt:lpwstr>{IMan.imProfileCustom1}</vt:lpwstr>
  </property>
  <property fmtid="{D5CDD505-2E9C-101B-9397-08002B2CF9AE}" pid="3" name="Matter_src">
    <vt:lpwstr>{IMan.imProfileCustom2}</vt:lpwstr>
  </property>
  <property fmtid="{D5CDD505-2E9C-101B-9397-08002B2CF9AE}" pid="4" name="cpClientMatter_src">
    <vt:lpwstr>{IMan.imProfileCustom1}-{IMan.imProfileCustom2}</vt:lpwstr>
  </property>
  <property fmtid="{D5CDD505-2E9C-101B-9397-08002B2CF9AE}" pid="5" name="cpDocRef_src">
    <vt:lpwstr>{IMan.Database.Name}: {IMan.Number}.{IMan.Version}</vt:lpwstr>
  </property>
  <property fmtid="{D5CDD505-2E9C-101B-9397-08002B2CF9AE}" pid="6" name="cpCombinedRef_src">
    <vt:lpwstr>{IMan.imProfileCustom1}-{IMan.imProfileCustom2} {IMan.Database.Name}: {IMan.Number}.{IMan.Version}</vt:lpwstr>
  </property>
  <property fmtid="{D5CDD505-2E9C-101B-9397-08002B2CF9AE}" pid="7" name="ContentTypeId">
    <vt:lpwstr>0x0101008E1931B9D01341BF82A1BE848E2F0648000D63B21F009B944AA79D7724E168C8DD</vt:lpwstr>
  </property>
  <property fmtid="{D5CDD505-2E9C-101B-9397-08002B2CF9AE}" pid="8" name="DisplayName">
    <vt:lpwstr>Document</vt:lpwstr>
  </property>
  <property fmtid="{D5CDD505-2E9C-101B-9397-08002B2CF9AE}" pid="9" name="DMProfile">
    <vt:lpwstr>Document</vt:lpwstr>
  </property>
  <property fmtid="{D5CDD505-2E9C-101B-9397-08002B2CF9AE}" pid="10" name="FilePedigree">
    <vt:lpwstr>OSAX</vt:lpwstr>
  </property>
  <property fmtid="{D5CDD505-2E9C-101B-9397-08002B2CF9AE}" pid="11" name="TemplateFileName">
    <vt:lpwstr>AODocument.dotm</vt:lpwstr>
  </property>
  <property fmtid="{D5CDD505-2E9C-101B-9397-08002B2CF9AE}" pid="12" name="OSADocumentType">
    <vt:lpwstr>1</vt:lpwstr>
  </property>
  <property fmtid="{D5CDD505-2E9C-101B-9397-08002B2CF9AE}" pid="13" name="TemplateName">
    <vt:lpwstr>AODocument.dotm</vt:lpwstr>
  </property>
  <property fmtid="{D5CDD505-2E9C-101B-9397-08002B2CF9AE}" pid="14" name="cpFooterText">
    <vt:lpwstr/>
  </property>
  <property fmtid="{D5CDD505-2E9C-101B-9397-08002B2CF9AE}" pid="15" name="cpHeaderText">
    <vt:lpwstr/>
  </property>
  <property fmtid="{D5CDD505-2E9C-101B-9397-08002B2CF9AE}" pid="16" name="iManageDocumentType">
    <vt:lpwstr>DOCUMENT</vt:lpwstr>
  </property>
  <property fmtid="{D5CDD505-2E9C-101B-9397-08002B2CF9AE}" pid="17" name="AddinActions">
    <vt:lpwstr>Document*AttachTemplate*DeleteEmptyRows</vt:lpwstr>
  </property>
  <property fmtid="{D5CDD505-2E9C-101B-9397-08002B2CF9AE}" pid="18" name="TemplafyTenantId">
    <vt:lpwstr>allenovery</vt:lpwstr>
  </property>
  <property fmtid="{D5CDD505-2E9C-101B-9397-08002B2CF9AE}" pid="19" name="TemplafyTemplateId">
    <vt:lpwstr>636474847388380616</vt:lpwstr>
  </property>
  <property fmtid="{D5CDD505-2E9C-101B-9397-08002B2CF9AE}" pid="20" name="AuthorDescription">
    <vt:lpwstr/>
  </property>
  <property fmtid="{D5CDD505-2E9C-101B-9397-08002B2CF9AE}" pid="21" name="AuthorName">
    <vt:lpwstr>Prague Law (CZE)</vt:lpwstr>
  </property>
  <property fmtid="{D5CDD505-2E9C-101B-9397-08002B2CF9AE}" pid="22" name="AuthorJobTitle">
    <vt:lpwstr/>
  </property>
  <property fmtid="{D5CDD505-2E9C-101B-9397-08002B2CF9AE}" pid="23" name="AuthorEmail">
    <vt:lpwstr/>
  </property>
  <property fmtid="{D5CDD505-2E9C-101B-9397-08002B2CF9AE}" pid="24" name="AuthorDirectLine">
    <vt:lpwstr/>
  </property>
  <property fmtid="{D5CDD505-2E9C-101B-9397-08002B2CF9AE}" pid="25" name="AuthorMobilePhone">
    <vt:lpwstr/>
  </property>
  <property fmtid="{D5CDD505-2E9C-101B-9397-08002B2CF9AE}" pid="26" name="AuthorPersonalFax">
    <vt:lpwstr/>
  </property>
  <property fmtid="{D5CDD505-2E9C-101B-9397-08002B2CF9AE}" pid="27" name="OurRef">
    <vt:lpwstr/>
  </property>
  <property fmtid="{D5CDD505-2E9C-101B-9397-08002B2CF9AE}" pid="28" name="OfficeID">
    <vt:lpwstr>Prague - Law</vt:lpwstr>
  </property>
  <property fmtid="{D5CDD505-2E9C-101B-9397-08002B2CF9AE}" pid="29" name="LanguageID">
    <vt:lpwstr>Czech</vt:lpwstr>
  </property>
  <property fmtid="{D5CDD505-2E9C-101B-9397-08002B2CF9AE}" pid="30" name="MSIP_Label_42e67a54-274b-43d7-8098-b3ba5f50e576_Enabled">
    <vt:lpwstr>True</vt:lpwstr>
  </property>
  <property fmtid="{D5CDD505-2E9C-101B-9397-08002B2CF9AE}" pid="31" name="MSIP_Label_42e67a54-274b-43d7-8098-b3ba5f50e576_SiteId">
    <vt:lpwstr>7f0b44d2-04f8-4672-bf5d-4676796468a3</vt:lpwstr>
  </property>
  <property fmtid="{D5CDD505-2E9C-101B-9397-08002B2CF9AE}" pid="32" name="MSIP_Label_42e67a54-274b-43d7-8098-b3ba5f50e576_Owner">
    <vt:lpwstr>Kristyna.Tranova@allenovery.com</vt:lpwstr>
  </property>
  <property fmtid="{D5CDD505-2E9C-101B-9397-08002B2CF9AE}" pid="33" name="MSIP_Label_42e67a54-274b-43d7-8098-b3ba5f50e576_SetDate">
    <vt:lpwstr>2020-09-29T09:20:52.1805617Z</vt:lpwstr>
  </property>
  <property fmtid="{D5CDD505-2E9C-101B-9397-08002B2CF9AE}" pid="34" name="MSIP_Label_42e67a54-274b-43d7-8098-b3ba5f50e576_Name">
    <vt:lpwstr>Restricted</vt:lpwstr>
  </property>
  <property fmtid="{D5CDD505-2E9C-101B-9397-08002B2CF9AE}" pid="35" name="MSIP_Label_42e67a54-274b-43d7-8098-b3ba5f50e576_Application">
    <vt:lpwstr>Microsoft Azure Information Protection</vt:lpwstr>
  </property>
  <property fmtid="{D5CDD505-2E9C-101B-9397-08002B2CF9AE}" pid="36" name="MSIP_Label_42e67a54-274b-43d7-8098-b3ba5f50e576_ActionId">
    <vt:lpwstr>e3398576-3b6b-441c-ab85-09dd2c2655c8</vt:lpwstr>
  </property>
  <property fmtid="{D5CDD505-2E9C-101B-9397-08002B2CF9AE}" pid="37" name="MSIP_Label_42e67a54-274b-43d7-8098-b3ba5f50e576_Extended_MSFT_Method">
    <vt:lpwstr>Automatic</vt:lpwstr>
  </property>
  <property fmtid="{D5CDD505-2E9C-101B-9397-08002B2CF9AE}" pid="38" name="cpCombinedRef">
    <vt:lpwstr>0106253-0000012 EUO1: 2001392478.1</vt:lpwstr>
  </property>
  <property fmtid="{D5CDD505-2E9C-101B-9397-08002B2CF9AE}" pid="39" name="SD_TIM_Ran">
    <vt:lpwstr>True</vt:lpwstr>
  </property>
  <property fmtid="{D5CDD505-2E9C-101B-9397-08002B2CF9AE}" pid="40" name="Client">
    <vt:lpwstr>0106253</vt:lpwstr>
  </property>
  <property fmtid="{D5CDD505-2E9C-101B-9397-08002B2CF9AE}" pid="41" name="Matter">
    <vt:lpwstr>0000012</vt:lpwstr>
  </property>
  <property fmtid="{D5CDD505-2E9C-101B-9397-08002B2CF9AE}" pid="42" name="cpClientMatter">
    <vt:lpwstr>0106253-0000012</vt:lpwstr>
  </property>
  <property fmtid="{D5CDD505-2E9C-101B-9397-08002B2CF9AE}" pid="43" name="cpDocRef">
    <vt:lpwstr>EUO1: 2001392478.1</vt:lpwstr>
  </property>
</Properties>
</file>